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15CC2" w14:textId="37F05B2D" w:rsidR="005E18CB" w:rsidRDefault="009D71E8" w:rsidP="005C6E45">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5C6E45" w14:paraId="27384B4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C55AA" w14:textId="5F64F5BC" w:rsidR="005C6E45" w:rsidRDefault="005C6E45">
            <w:pPr>
              <w:pStyle w:val="TableRow"/>
            </w:pPr>
            <w:r>
              <w:t>Name of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CF4289" w14:textId="74A22541" w:rsidR="005C6E45" w:rsidRDefault="005C6E45">
            <w:pPr>
              <w:pStyle w:val="TableRow"/>
            </w:pPr>
            <w:r>
              <w:t>Kingsway Primary School</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BA98775" w:rsidR="002940F3" w:rsidRDefault="005C6E45">
            <w:pPr>
              <w:pStyle w:val="TableRow"/>
            </w:pPr>
            <w:r>
              <w:t>173</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EF31F66" w:rsidR="002940F3" w:rsidRDefault="005C6E45">
            <w:pPr>
              <w:pStyle w:val="TableRow"/>
            </w:pPr>
            <w:r>
              <w:t>36.3%</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F38764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B01588">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1E120B9" w:rsidR="002940F3" w:rsidRDefault="00B01588">
            <w:pPr>
              <w:pStyle w:val="TableRow"/>
            </w:pPr>
            <w:r>
              <w:t>2022/2023 to 2024/2025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547F171" w:rsidR="002940F3" w:rsidRDefault="005C6E45">
            <w:pPr>
              <w:pStyle w:val="TableRow"/>
            </w:pPr>
            <w:r>
              <w:t>15/12/23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34937C6" w:rsidR="002940F3" w:rsidRDefault="005C6E45">
            <w:pPr>
              <w:pStyle w:val="TableRow"/>
            </w:pPr>
            <w:r>
              <w:t>15/11/24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89528B4" w:rsidR="002940F3" w:rsidRDefault="005C6E45">
            <w:pPr>
              <w:pStyle w:val="TableRow"/>
            </w:pPr>
            <w:r>
              <w:t>KPS Governing Body</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8740117" w:rsidR="002940F3" w:rsidRDefault="005C6E45">
            <w:pPr>
              <w:pStyle w:val="TableRow"/>
            </w:pPr>
            <w:r>
              <w:t>Kate Baskeyfield (Headteacher)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F003D22" w:rsidR="002940F3" w:rsidRDefault="005C6E45">
            <w:pPr>
              <w:pStyle w:val="TableRow"/>
            </w:pPr>
            <w:r>
              <w:t>Jackie Adey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A24CEFC" w:rsidR="00E66558" w:rsidRDefault="009D71E8">
            <w:pPr>
              <w:pStyle w:val="TableRow"/>
            </w:pPr>
            <w:r>
              <w:t>Pupil premium funding allocation this academic year</w:t>
            </w:r>
            <w:r w:rsidR="00B01588">
              <w:t xml:space="preserve"> (2023/2024)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3DECB8F" w:rsidR="00E66558" w:rsidRDefault="009D71E8">
            <w:pPr>
              <w:pStyle w:val="TableRow"/>
            </w:pPr>
            <w:r>
              <w:t>£</w:t>
            </w:r>
            <w:r w:rsidR="00B01588">
              <w:t>89,830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Pr="003D7E94" w:rsidRDefault="009D71E8">
            <w:pPr>
              <w:pStyle w:val="TableRow"/>
            </w:pPr>
            <w:r w:rsidRPr="003D7E94">
              <w:t>Recovery premium funding allocation this academic year</w:t>
            </w:r>
          </w:p>
          <w:p w14:paraId="2A7D54DA" w14:textId="7E741F29" w:rsidR="00CA5363" w:rsidRPr="005F16B6" w:rsidRDefault="00CA5363" w:rsidP="00CA5363">
            <w:pPr>
              <w:pStyle w:val="TableRow"/>
              <w:rPr>
                <w:i/>
                <w:iCs/>
              </w:rPr>
            </w:pPr>
            <w:r w:rsidRPr="003D7E94">
              <w:rPr>
                <w:i/>
                <w:iCs/>
              </w:rPr>
              <w:t>Recovery premium received in academic year 2023</w:t>
            </w:r>
            <w:r w:rsidR="00762652" w:rsidRPr="003D7E94">
              <w:rPr>
                <w:i/>
                <w:iCs/>
              </w:rPr>
              <w:t>/</w:t>
            </w:r>
            <w:r w:rsidRPr="003D7E94">
              <w:rPr>
                <w:i/>
                <w:iCs/>
              </w:rPr>
              <w:t>24 cannot be carried forward beyond August 31</w:t>
            </w:r>
            <w:r w:rsidR="00257A4E" w:rsidRPr="003D7E94">
              <w:rPr>
                <w:i/>
                <w:iCs/>
              </w:rPr>
              <w:t>,</w:t>
            </w:r>
            <w:r w:rsidRPr="003D7E94">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3818380" w:rsidR="00E66558" w:rsidRDefault="009D71E8" w:rsidP="003D7E94">
            <w:pPr>
              <w:pStyle w:val="TableRow"/>
            </w:pPr>
            <w:r>
              <w:t>£</w:t>
            </w:r>
            <w:r w:rsidR="003D7E94">
              <w:t>8,845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EF47A2D" w:rsidR="00E66558" w:rsidRDefault="009D71E8">
            <w:pPr>
              <w:pStyle w:val="TableRow"/>
            </w:pPr>
            <w:r>
              <w:t>£</w:t>
            </w:r>
            <w:r w:rsidR="00B01588">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BF0963D" w:rsidR="00E66558" w:rsidRDefault="009D71E8">
            <w:pPr>
              <w:pStyle w:val="TableRow"/>
            </w:pPr>
            <w:r>
              <w:t>£</w:t>
            </w:r>
            <w:r w:rsidR="003D7E94">
              <w:t>98,675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780B" w14:textId="77777777" w:rsidR="00E66558" w:rsidRDefault="000D46BC" w:rsidP="000D46BC">
            <w:pPr>
              <w:rPr>
                <w:iCs/>
              </w:rPr>
            </w:pPr>
            <w:r>
              <w:rPr>
                <w:iCs/>
              </w:rPr>
              <w:t>At Kingsway Primary School, we have the highest aspirations for all children in our school family and we believe that every child should be given the opportunity to reach their full potential. We are committed to ensuring that we have a highly positive impact on all of our children’s lives and futures.</w:t>
            </w:r>
          </w:p>
          <w:p w14:paraId="58BA7CF6" w14:textId="67B4D9AE" w:rsidR="000D46BC" w:rsidRDefault="000D46BC" w:rsidP="000D46BC">
            <w:pPr>
              <w:rPr>
                <w:iCs/>
              </w:rPr>
            </w:pPr>
            <w:r>
              <w:rPr>
                <w:iCs/>
              </w:rPr>
              <w:t xml:space="preserve">Our approach to pupil premium is based on the needs of each individual child and is built upon the high expectations that we have for all of the children within our school community. We take a forward-thinking, long-term view to addressing the potential barriers to learning and success that are faced by our disadvantaged children and use our evidence-based understanding of high quality teaching and </w:t>
            </w:r>
            <w:r w:rsidR="00204C41">
              <w:rPr>
                <w:iCs/>
              </w:rPr>
              <w:t>learning</w:t>
            </w:r>
            <w:r>
              <w:rPr>
                <w:iCs/>
              </w:rPr>
              <w:t xml:space="preserve"> to overcome these.</w:t>
            </w:r>
          </w:p>
          <w:p w14:paraId="264D0573" w14:textId="219762F0" w:rsidR="000D46BC" w:rsidRDefault="000D46BC" w:rsidP="000D46BC">
            <w:pPr>
              <w:rPr>
                <w:iCs/>
              </w:rPr>
            </w:pPr>
            <w:r>
              <w:rPr>
                <w:iCs/>
              </w:rPr>
              <w:t>Using the EEF ti</w:t>
            </w:r>
            <w:r w:rsidR="00204C41">
              <w:rPr>
                <w:iCs/>
              </w:rPr>
              <w:t>e</w:t>
            </w:r>
            <w:r>
              <w:rPr>
                <w:iCs/>
              </w:rPr>
              <w:t>red model, our approach will be primarily rooted in quality first teaching for all children with high-quality targeted support where required and appropriate alongside wider, whole-school strategies.</w:t>
            </w:r>
          </w:p>
          <w:p w14:paraId="65DC30CA" w14:textId="37667B01" w:rsidR="000D46BC" w:rsidRDefault="000D46BC" w:rsidP="000D46BC">
            <w:pPr>
              <w:rPr>
                <w:iCs/>
              </w:rPr>
            </w:pPr>
            <w:r>
              <w:rPr>
                <w:iCs/>
              </w:rPr>
              <w:t>We know, through</w:t>
            </w:r>
            <w:r w:rsidR="00036B0D">
              <w:rPr>
                <w:iCs/>
              </w:rPr>
              <w:t xml:space="preserve"> research and through</w:t>
            </w:r>
            <w:r>
              <w:rPr>
                <w:iCs/>
              </w:rPr>
              <w:t xml:space="preserve"> speaking to our children and monitoring the impact of </w:t>
            </w:r>
            <w:r w:rsidR="00036B0D">
              <w:rPr>
                <w:iCs/>
              </w:rPr>
              <w:t>teaching and learning and intervention in school that our children benefit from:</w:t>
            </w:r>
          </w:p>
          <w:p w14:paraId="56CA2AC1" w14:textId="55446FC2" w:rsidR="00036B0D" w:rsidRDefault="00036B0D" w:rsidP="000D46BC">
            <w:pPr>
              <w:pStyle w:val="ListParagraph"/>
              <w:numPr>
                <w:ilvl w:val="0"/>
                <w:numId w:val="15"/>
              </w:numPr>
              <w:rPr>
                <w:iCs/>
              </w:rPr>
            </w:pPr>
            <w:r>
              <w:rPr>
                <w:iCs/>
              </w:rPr>
              <w:t>Staff having high expectations of all children with an adaptive approach to teaching and learning which is consistent across the school.</w:t>
            </w:r>
          </w:p>
          <w:p w14:paraId="321E4EB9" w14:textId="15CD3DAD" w:rsidR="00036B0D" w:rsidRDefault="00036B0D" w:rsidP="00036B0D">
            <w:pPr>
              <w:pStyle w:val="ListParagraph"/>
              <w:numPr>
                <w:ilvl w:val="0"/>
                <w:numId w:val="15"/>
              </w:numPr>
              <w:rPr>
                <w:iCs/>
              </w:rPr>
            </w:pPr>
            <w:r>
              <w:rPr>
                <w:iCs/>
              </w:rPr>
              <w:t>Having extra help, on the same day, to overlearn concepts that they have not grasped in class.</w:t>
            </w:r>
          </w:p>
          <w:p w14:paraId="7DC3D948" w14:textId="3443A19C" w:rsidR="00036B0D" w:rsidRDefault="00036B0D" w:rsidP="00036B0D">
            <w:pPr>
              <w:pStyle w:val="ListParagraph"/>
              <w:numPr>
                <w:ilvl w:val="0"/>
                <w:numId w:val="15"/>
              </w:numPr>
              <w:rPr>
                <w:iCs/>
              </w:rPr>
            </w:pPr>
            <w:r>
              <w:rPr>
                <w:iCs/>
              </w:rPr>
              <w:t>Early identification of additional need and early intervention to diminish the difference.</w:t>
            </w:r>
          </w:p>
          <w:p w14:paraId="2A7D54E9" w14:textId="3AB60061" w:rsidR="00036B0D" w:rsidRPr="000D46BC" w:rsidRDefault="00036B0D" w:rsidP="000D46BC">
            <w:pPr>
              <w:pStyle w:val="ListParagraph"/>
              <w:numPr>
                <w:ilvl w:val="0"/>
                <w:numId w:val="15"/>
              </w:numPr>
              <w:rPr>
                <w:iCs/>
              </w:rPr>
            </w:pPr>
            <w:r>
              <w:rPr>
                <w:iCs/>
              </w:rPr>
              <w:t>Therapeutic support to enable our children to self-regulate their emotions and enable them to access their learning in full.</w:t>
            </w:r>
          </w:p>
        </w:tc>
      </w:tr>
    </w:tbl>
    <w:p w14:paraId="2A7D54EB" w14:textId="77777777" w:rsidR="00E66558" w:rsidRDefault="009D71E8">
      <w:pPr>
        <w:pStyle w:val="Heading2"/>
        <w:spacing w:before="600"/>
      </w:pPr>
      <w:r>
        <w:t>Challenges</w:t>
      </w:r>
    </w:p>
    <w:p w14:paraId="2A7D54EC" w14:textId="24216B50"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p w14:paraId="311EA20C" w14:textId="49EAB13B" w:rsidR="003708FB" w:rsidRDefault="003708FB" w:rsidP="00AA355B"/>
    <w:p w14:paraId="4B9E004C" w14:textId="77777777" w:rsidR="003708FB" w:rsidRDefault="003708FB" w:rsidP="00AA355B"/>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6573" w14:textId="77777777" w:rsidR="00C25BEB" w:rsidRDefault="009D71E8" w:rsidP="00C25BEB">
            <w:pPr>
              <w:pStyle w:val="TableRow"/>
              <w:rPr>
                <w:sz w:val="22"/>
                <w:szCs w:val="22"/>
              </w:rPr>
            </w:pPr>
            <w:r>
              <w:rPr>
                <w:sz w:val="22"/>
                <w:szCs w:val="22"/>
              </w:rPr>
              <w:t>1</w:t>
            </w:r>
          </w:p>
          <w:p w14:paraId="2A7D54F0" w14:textId="796B6FE4" w:rsidR="00BA0EA3" w:rsidRDefault="00BA0EA3" w:rsidP="003708FB">
            <w:pPr>
              <w:pStyle w:val="TableRow"/>
              <w:ind w:left="0"/>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6C7D" w14:textId="77777777" w:rsidR="003708FB" w:rsidRDefault="00271856" w:rsidP="00271856">
            <w:pPr>
              <w:pStyle w:val="TableRowCentered"/>
              <w:ind w:left="0"/>
              <w:jc w:val="left"/>
              <w:rPr>
                <w:b/>
                <w:iCs/>
                <w:sz w:val="22"/>
                <w:szCs w:val="22"/>
              </w:rPr>
            </w:pPr>
            <w:r>
              <w:rPr>
                <w:b/>
                <w:iCs/>
                <w:sz w:val="22"/>
                <w:szCs w:val="22"/>
              </w:rPr>
              <w:t>On-entry starting points are low in the EYFS.</w:t>
            </w:r>
          </w:p>
          <w:p w14:paraId="472BBDF6" w14:textId="67198879" w:rsidR="00271856" w:rsidRPr="00BA0EA3" w:rsidRDefault="00271856" w:rsidP="00271856">
            <w:pPr>
              <w:pStyle w:val="TableRowCentered"/>
              <w:ind w:left="0"/>
              <w:jc w:val="left"/>
              <w:rPr>
                <w:b/>
                <w:iCs/>
                <w:sz w:val="22"/>
                <w:szCs w:val="22"/>
              </w:rPr>
            </w:pPr>
            <w:r>
              <w:rPr>
                <w:iCs/>
                <w:sz w:val="22"/>
                <w:szCs w:val="22"/>
              </w:rPr>
              <w:t>The majority of disadvantaged children entered EYFS with below expected levels in the Prime Areas of learning in 2023 (internal teacher assessed baseline judgement).</w:t>
            </w:r>
          </w:p>
          <w:p w14:paraId="581254AA" w14:textId="77777777" w:rsidR="00223CBD" w:rsidRPr="00223CBD" w:rsidRDefault="00223CBD" w:rsidP="00271856">
            <w:pPr>
              <w:pStyle w:val="TableRowCentered"/>
              <w:ind w:left="0"/>
              <w:jc w:val="left"/>
              <w:rPr>
                <w:iCs/>
                <w:sz w:val="22"/>
                <w:szCs w:val="22"/>
              </w:rPr>
            </w:pPr>
            <w:r w:rsidRPr="00223CBD">
              <w:rPr>
                <w:iCs/>
                <w:sz w:val="22"/>
                <w:szCs w:val="22"/>
              </w:rPr>
              <w:t xml:space="preserve">In Reception 2023, 18.2% of the children are disadvantaged. 67% are below ARE for Listening, Attention and Understanding (with 33% well below) 67% are below ARE for Speaking (with 33% well below) </w:t>
            </w:r>
          </w:p>
          <w:p w14:paraId="2A7D54F1" w14:textId="69BECED9" w:rsidR="00271856" w:rsidRPr="00271856" w:rsidRDefault="00223CBD" w:rsidP="00271856">
            <w:pPr>
              <w:pStyle w:val="TableRowCentered"/>
              <w:ind w:left="0"/>
              <w:jc w:val="left"/>
            </w:pPr>
            <w:r w:rsidRPr="00223CBD">
              <w:rPr>
                <w:iCs/>
                <w:sz w:val="22"/>
                <w:szCs w:val="22"/>
              </w:rPr>
              <w:t>33% of disadvantaged pupils are predicted not to achieve GLD based on baseline figures and expectation of average progress.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722C" w14:textId="31EE96BB" w:rsidR="00E66558" w:rsidRDefault="000E2755">
            <w:pPr>
              <w:pStyle w:val="TableRowCentered"/>
              <w:jc w:val="left"/>
              <w:rPr>
                <w:b/>
                <w:sz w:val="22"/>
                <w:szCs w:val="22"/>
              </w:rPr>
            </w:pPr>
            <w:r>
              <w:rPr>
                <w:b/>
                <w:sz w:val="22"/>
                <w:szCs w:val="22"/>
              </w:rPr>
              <w:t>Speech, l</w:t>
            </w:r>
            <w:r w:rsidR="00271856">
              <w:rPr>
                <w:b/>
                <w:sz w:val="22"/>
                <w:szCs w:val="22"/>
              </w:rPr>
              <w:t>anguage and communication needs</w:t>
            </w:r>
          </w:p>
          <w:p w14:paraId="7A699CFC" w14:textId="50386EC1" w:rsidR="00271856" w:rsidRDefault="00B433F4">
            <w:pPr>
              <w:pStyle w:val="TableRowCentered"/>
              <w:jc w:val="left"/>
              <w:rPr>
                <w:sz w:val="22"/>
                <w:szCs w:val="22"/>
              </w:rPr>
            </w:pPr>
            <w:r>
              <w:rPr>
                <w:sz w:val="22"/>
                <w:szCs w:val="22"/>
              </w:rPr>
              <w:t>33</w:t>
            </w:r>
            <w:r w:rsidR="00271856">
              <w:rPr>
                <w:sz w:val="22"/>
                <w:szCs w:val="22"/>
              </w:rPr>
              <w:t>% of disadvantaged children in Reception are below ARE for SLCN in Reception (based on WELLCOMM assessments).</w:t>
            </w:r>
          </w:p>
          <w:p w14:paraId="2A7D54F4" w14:textId="163FFE2C" w:rsidR="00271856" w:rsidRPr="00271856" w:rsidRDefault="00271856">
            <w:pPr>
              <w:pStyle w:val="TableRowCentered"/>
              <w:jc w:val="left"/>
              <w:rPr>
                <w:sz w:val="22"/>
                <w:szCs w:val="22"/>
              </w:rPr>
            </w:pPr>
            <w:r>
              <w:rPr>
                <w:sz w:val="22"/>
                <w:szCs w:val="22"/>
              </w:rPr>
              <w:t>41.7% children in EYFS have English as an Additional Language.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09EA232" w:rsidR="00BA0EA3" w:rsidRDefault="009D71E8" w:rsidP="005A64B5">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A5C35" w14:textId="77777777" w:rsidR="00223CBD" w:rsidRPr="005A64B5" w:rsidRDefault="00223CBD">
            <w:pPr>
              <w:pStyle w:val="TableRowCentered"/>
              <w:jc w:val="left"/>
              <w:rPr>
                <w:b/>
                <w:sz w:val="22"/>
                <w:szCs w:val="22"/>
              </w:rPr>
            </w:pPr>
            <w:r w:rsidRPr="005A64B5">
              <w:rPr>
                <w:b/>
                <w:sz w:val="22"/>
                <w:szCs w:val="22"/>
              </w:rPr>
              <w:t xml:space="preserve">Barriers to learning and SEND </w:t>
            </w:r>
          </w:p>
          <w:p w14:paraId="64D71F86" w14:textId="40D5ABBE" w:rsidR="00223CBD" w:rsidRPr="005A64B5" w:rsidRDefault="00223CBD">
            <w:pPr>
              <w:pStyle w:val="TableRowCentered"/>
              <w:jc w:val="left"/>
              <w:rPr>
                <w:sz w:val="22"/>
                <w:szCs w:val="22"/>
              </w:rPr>
            </w:pPr>
            <w:r w:rsidRPr="005A64B5">
              <w:rPr>
                <w:sz w:val="22"/>
                <w:szCs w:val="22"/>
              </w:rPr>
              <w:t xml:space="preserve">87.5% of children on the school’s SEND register are disadvantaged. Multiple barriers to learning have a greater impact on good progress. </w:t>
            </w:r>
          </w:p>
          <w:p w14:paraId="69C3DD50" w14:textId="77777777" w:rsidR="00223CBD" w:rsidRPr="005A64B5" w:rsidRDefault="00223CBD">
            <w:pPr>
              <w:pStyle w:val="TableRowCentered"/>
              <w:jc w:val="left"/>
              <w:rPr>
                <w:sz w:val="22"/>
                <w:szCs w:val="22"/>
              </w:rPr>
            </w:pPr>
            <w:r w:rsidRPr="005A64B5">
              <w:rPr>
                <w:sz w:val="22"/>
                <w:szCs w:val="22"/>
              </w:rPr>
              <w:t xml:space="preserve">In reading there is a narrow gap between SEND non-disadvantaged (22% below, 78% ARE or above) and SEND disadvantaged (24% below 76% ARE or above) </w:t>
            </w:r>
          </w:p>
          <w:p w14:paraId="7BA66074" w14:textId="77777777" w:rsidR="00223CBD" w:rsidRPr="005A64B5" w:rsidRDefault="00223CBD">
            <w:pPr>
              <w:pStyle w:val="TableRowCentered"/>
              <w:jc w:val="left"/>
              <w:rPr>
                <w:sz w:val="22"/>
                <w:szCs w:val="22"/>
              </w:rPr>
            </w:pPr>
            <w:r w:rsidRPr="005A64B5">
              <w:rPr>
                <w:sz w:val="22"/>
                <w:szCs w:val="22"/>
              </w:rPr>
              <w:t xml:space="preserve">There is a slightly larger, gap in maths. SEND non-disadvantaged (35% below, 65% ARE or above) SEND disadvantaged (41% below, 59% ARE or above) </w:t>
            </w:r>
          </w:p>
          <w:p w14:paraId="0A4762EA" w14:textId="77777777" w:rsidR="00223CBD" w:rsidRPr="005A64B5" w:rsidRDefault="00223CBD">
            <w:pPr>
              <w:pStyle w:val="TableRowCentered"/>
              <w:jc w:val="left"/>
              <w:rPr>
                <w:sz w:val="22"/>
                <w:szCs w:val="22"/>
              </w:rPr>
            </w:pPr>
            <w:r w:rsidRPr="005A64B5">
              <w:rPr>
                <w:sz w:val="22"/>
                <w:szCs w:val="22"/>
              </w:rPr>
              <w:t xml:space="preserve">The most significant gap appears in writing. Note – some children are missing, presumably through absence. SEND non-disadvantaged (38% below, 48% ARE or above) SEND disadvantaged (55% below, 38% ARE. None are above expected) </w:t>
            </w:r>
          </w:p>
          <w:p w14:paraId="2A7D54F7" w14:textId="0D9AE4C7" w:rsidR="00223CBD" w:rsidRPr="00271856" w:rsidRDefault="00223CBD">
            <w:pPr>
              <w:pStyle w:val="TableRowCentered"/>
              <w:jc w:val="left"/>
              <w:rPr>
                <w:sz w:val="22"/>
                <w:szCs w:val="22"/>
              </w:rPr>
            </w:pPr>
            <w:r w:rsidRPr="005A64B5">
              <w:rPr>
                <w:sz w:val="22"/>
                <w:szCs w:val="22"/>
              </w:rPr>
              <w:t>Combined attainment shows 36% of SEND disadvantaged at ARE or above, with 44% of non-advantaged SEND children at ARE or above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6EF24" w14:textId="77777777" w:rsidR="00E66558" w:rsidRDefault="009D71E8">
            <w:pPr>
              <w:pStyle w:val="TableRow"/>
              <w:rPr>
                <w:sz w:val="22"/>
                <w:szCs w:val="22"/>
              </w:rPr>
            </w:pPr>
            <w:r>
              <w:rPr>
                <w:sz w:val="22"/>
                <w:szCs w:val="22"/>
              </w:rPr>
              <w:t>4</w:t>
            </w:r>
          </w:p>
          <w:p w14:paraId="417B7B7A" w14:textId="77777777" w:rsidR="00C25BEB" w:rsidRDefault="00C25BEB">
            <w:pPr>
              <w:pStyle w:val="TableRow"/>
              <w:rPr>
                <w:sz w:val="22"/>
                <w:szCs w:val="22"/>
              </w:rPr>
            </w:pPr>
          </w:p>
          <w:p w14:paraId="2A7D54F9" w14:textId="239ADD58" w:rsidR="00C25BEB" w:rsidRDefault="00C25BEB">
            <w:pPr>
              <w:pStyle w:val="TableRow"/>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BF2D3" w14:textId="77777777" w:rsidR="00E66558" w:rsidRDefault="00C25BEB">
            <w:pPr>
              <w:pStyle w:val="TableRowCentered"/>
              <w:jc w:val="left"/>
              <w:rPr>
                <w:b/>
                <w:iCs/>
                <w:sz w:val="22"/>
              </w:rPr>
            </w:pPr>
            <w:r>
              <w:rPr>
                <w:b/>
                <w:iCs/>
                <w:sz w:val="22"/>
              </w:rPr>
              <w:t>Phonics and reading</w:t>
            </w:r>
          </w:p>
          <w:p w14:paraId="3AB4D783" w14:textId="77777777" w:rsidR="00C25BEB" w:rsidRDefault="00C25BEB">
            <w:pPr>
              <w:pStyle w:val="TableRowCentered"/>
              <w:jc w:val="left"/>
              <w:rPr>
                <w:iCs/>
                <w:sz w:val="22"/>
              </w:rPr>
            </w:pPr>
            <w:r>
              <w:rPr>
                <w:iCs/>
                <w:sz w:val="22"/>
              </w:rPr>
              <w:t>Assessments, observations and discussions with pupils suggest that disadvantaged pupils generally have greater difficulty with phonics than their non-disadvantaged peers. This negatively impacts their development as readers. This has increased in recent years due to the on-going impact of the pandemic.</w:t>
            </w:r>
          </w:p>
          <w:p w14:paraId="070DC58C" w14:textId="79272496" w:rsidR="00C25BEB" w:rsidRPr="00223CBD" w:rsidRDefault="00C25BEB">
            <w:pPr>
              <w:pStyle w:val="TableRowCentered"/>
              <w:jc w:val="left"/>
              <w:rPr>
                <w:iCs/>
                <w:sz w:val="22"/>
              </w:rPr>
            </w:pPr>
            <w:r w:rsidRPr="00223CBD">
              <w:rPr>
                <w:iCs/>
                <w:sz w:val="22"/>
              </w:rPr>
              <w:t>July 2023 outcomes:</w:t>
            </w:r>
          </w:p>
          <w:p w14:paraId="5C2C05A6" w14:textId="070D28B4" w:rsidR="00C25BEB" w:rsidRPr="00223CBD" w:rsidRDefault="00223CBD">
            <w:pPr>
              <w:pStyle w:val="TableRowCentered"/>
              <w:jc w:val="left"/>
              <w:rPr>
                <w:iCs/>
                <w:sz w:val="22"/>
              </w:rPr>
            </w:pPr>
            <w:r w:rsidRPr="00223CBD">
              <w:rPr>
                <w:iCs/>
                <w:sz w:val="22"/>
              </w:rPr>
              <w:t>25</w:t>
            </w:r>
            <w:r w:rsidR="00C25BEB" w:rsidRPr="00223CBD">
              <w:rPr>
                <w:iCs/>
                <w:sz w:val="22"/>
              </w:rPr>
              <w:t>%</w:t>
            </w:r>
            <w:r w:rsidRPr="00223CBD">
              <w:rPr>
                <w:iCs/>
                <w:sz w:val="22"/>
              </w:rPr>
              <w:t xml:space="preserve"> (3/12)</w:t>
            </w:r>
            <w:r w:rsidR="00C25BEB" w:rsidRPr="00223CBD">
              <w:rPr>
                <w:iCs/>
                <w:sz w:val="22"/>
              </w:rPr>
              <w:t xml:space="preserve"> of disadvantaged children did not pass the PSC in year 1</w:t>
            </w:r>
          </w:p>
          <w:p w14:paraId="1C6D3617" w14:textId="219FD175" w:rsidR="00C25BEB" w:rsidRPr="00223CBD" w:rsidRDefault="00223CBD">
            <w:pPr>
              <w:pStyle w:val="TableRowCentered"/>
              <w:jc w:val="left"/>
              <w:rPr>
                <w:iCs/>
                <w:sz w:val="22"/>
              </w:rPr>
            </w:pPr>
            <w:r w:rsidRPr="00223CBD">
              <w:rPr>
                <w:iCs/>
                <w:sz w:val="22"/>
              </w:rPr>
              <w:t>There were no disadvantaged children in year 2 who did not pass the phonics screening check in year 1.</w:t>
            </w:r>
          </w:p>
          <w:p w14:paraId="254BA54A" w14:textId="4FED3E45" w:rsidR="00C25BEB" w:rsidRPr="00223CBD" w:rsidRDefault="00223CBD">
            <w:pPr>
              <w:pStyle w:val="TableRowCentered"/>
              <w:jc w:val="left"/>
              <w:rPr>
                <w:iCs/>
                <w:sz w:val="22"/>
              </w:rPr>
            </w:pPr>
            <w:r w:rsidRPr="00223CBD">
              <w:rPr>
                <w:iCs/>
                <w:sz w:val="22"/>
              </w:rPr>
              <w:t>56</w:t>
            </w:r>
            <w:r w:rsidR="00C25BEB" w:rsidRPr="00223CBD">
              <w:rPr>
                <w:iCs/>
                <w:sz w:val="22"/>
              </w:rPr>
              <w:t xml:space="preserve">% of </w:t>
            </w:r>
            <w:r w:rsidRPr="00223CBD">
              <w:rPr>
                <w:iCs/>
                <w:sz w:val="22"/>
              </w:rPr>
              <w:t xml:space="preserve">disadvantaged </w:t>
            </w:r>
            <w:r w:rsidR="00C25BEB" w:rsidRPr="00223CBD">
              <w:rPr>
                <w:iCs/>
                <w:sz w:val="22"/>
              </w:rPr>
              <w:t>pupils are not meeting the expected standard in reading across the school.</w:t>
            </w:r>
            <w:r w:rsidRPr="00223CBD">
              <w:rPr>
                <w:iCs/>
                <w:sz w:val="22"/>
              </w:rPr>
              <w:t xml:space="preserve"> There are 57 disadvantaged children from year 1 – 6 at Kingsway. (32/57)</w:t>
            </w:r>
          </w:p>
          <w:p w14:paraId="3F6E5C17" w14:textId="77777777" w:rsidR="00C25BEB" w:rsidRPr="00223CBD" w:rsidRDefault="00C25BEB">
            <w:pPr>
              <w:pStyle w:val="TableRowCentered"/>
              <w:jc w:val="left"/>
              <w:rPr>
                <w:iCs/>
                <w:sz w:val="22"/>
              </w:rPr>
            </w:pPr>
            <w:r w:rsidRPr="00223CBD">
              <w:rPr>
                <w:iCs/>
                <w:sz w:val="22"/>
              </w:rPr>
              <w:t>Projected 2024 outcomes:</w:t>
            </w:r>
          </w:p>
          <w:p w14:paraId="2A7D54FA" w14:textId="19A192AA" w:rsidR="00C25BEB" w:rsidRPr="00C25BEB" w:rsidRDefault="00223CBD">
            <w:pPr>
              <w:pStyle w:val="TableRowCentered"/>
              <w:jc w:val="left"/>
              <w:rPr>
                <w:iCs/>
                <w:sz w:val="22"/>
              </w:rPr>
            </w:pPr>
            <w:r w:rsidRPr="00223CBD">
              <w:rPr>
                <w:iCs/>
                <w:sz w:val="22"/>
              </w:rPr>
              <w:t>25</w:t>
            </w:r>
            <w:r w:rsidR="00C25BEB" w:rsidRPr="00223CBD">
              <w:rPr>
                <w:iCs/>
                <w:sz w:val="22"/>
              </w:rPr>
              <w:t>%</w:t>
            </w:r>
            <w:r w:rsidRPr="00223CBD">
              <w:rPr>
                <w:iCs/>
                <w:sz w:val="22"/>
              </w:rPr>
              <w:t xml:space="preserve"> (1 out of 4)</w:t>
            </w:r>
            <w:r w:rsidR="00C25BEB" w:rsidRPr="00223CBD">
              <w:rPr>
                <w:iCs/>
                <w:sz w:val="22"/>
              </w:rPr>
              <w:t xml:space="preserve"> of disadvantaged children are not on track to pass the PSC at the end of year 1.</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6E557" w14:textId="77777777" w:rsidR="00E66558" w:rsidRDefault="009D71E8">
            <w:pPr>
              <w:pStyle w:val="TableRow"/>
              <w:rPr>
                <w:sz w:val="22"/>
                <w:szCs w:val="22"/>
              </w:rPr>
            </w:pPr>
            <w:bookmarkStart w:id="16" w:name="_Toc443397160"/>
            <w:r>
              <w:rPr>
                <w:sz w:val="22"/>
                <w:szCs w:val="22"/>
              </w:rPr>
              <w:t>5</w:t>
            </w:r>
          </w:p>
          <w:p w14:paraId="2A7D54FC" w14:textId="4134630B" w:rsidR="00BA0EA3" w:rsidRDefault="00BA0EA3" w:rsidP="00005CDC">
            <w:pPr>
              <w:pStyle w:val="TableRow"/>
              <w:ind w:left="0"/>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738A2" w14:textId="77777777" w:rsidR="00E66558" w:rsidRDefault="00C25BEB">
            <w:pPr>
              <w:pStyle w:val="TableRowCentered"/>
              <w:jc w:val="left"/>
              <w:rPr>
                <w:b/>
                <w:iCs/>
                <w:sz w:val="22"/>
              </w:rPr>
            </w:pPr>
            <w:r>
              <w:rPr>
                <w:b/>
                <w:iCs/>
                <w:sz w:val="22"/>
              </w:rPr>
              <w:t>Attainment through KS2</w:t>
            </w:r>
          </w:p>
          <w:p w14:paraId="2DD34D0B" w14:textId="5EA263CD" w:rsidR="00BA0EA3" w:rsidRPr="00005CDC" w:rsidRDefault="00BA0EA3" w:rsidP="00BA0EA3">
            <w:pPr>
              <w:pStyle w:val="TableRowCentered"/>
              <w:jc w:val="left"/>
              <w:rPr>
                <w:iCs/>
                <w:sz w:val="22"/>
              </w:rPr>
            </w:pPr>
            <w:r w:rsidRPr="00005CDC">
              <w:rPr>
                <w:iCs/>
                <w:sz w:val="22"/>
              </w:rPr>
              <w:t>School data demonstrates that outcomes for disadvantaged children are lower than their non-disadvantaged peers. The difference between the children currently achieving EXS+ in RWM combined within each year group is:</w:t>
            </w:r>
          </w:p>
          <w:tbl>
            <w:tblPr>
              <w:tblStyle w:val="TableGrid"/>
              <w:tblW w:w="0" w:type="auto"/>
              <w:tblInd w:w="57" w:type="dxa"/>
              <w:tblLook w:val="04A0" w:firstRow="1" w:lastRow="0" w:firstColumn="1" w:lastColumn="0" w:noHBand="0" w:noVBand="1"/>
            </w:tblPr>
            <w:tblGrid>
              <w:gridCol w:w="1922"/>
              <w:gridCol w:w="1937"/>
              <w:gridCol w:w="1938"/>
              <w:gridCol w:w="1929"/>
            </w:tblGrid>
            <w:tr w:rsidR="007E2CBA" w14:paraId="6FE93989" w14:textId="77777777" w:rsidTr="007E2CBA">
              <w:tc>
                <w:tcPr>
                  <w:tcW w:w="1945" w:type="dxa"/>
                  <w:shd w:val="clear" w:color="auto" w:fill="D9D9D9" w:themeFill="background1" w:themeFillShade="D9"/>
                </w:tcPr>
                <w:p w14:paraId="72544D4C" w14:textId="4CF32970" w:rsidR="007E2CBA" w:rsidRPr="007E2CBA" w:rsidRDefault="007E2CBA" w:rsidP="007E2CBA">
                  <w:pPr>
                    <w:pStyle w:val="TableRowCentered"/>
                    <w:ind w:left="0"/>
                    <w:rPr>
                      <w:b/>
                      <w:iCs/>
                      <w:sz w:val="18"/>
                      <w:szCs w:val="18"/>
                    </w:rPr>
                  </w:pPr>
                  <w:r w:rsidRPr="007E2CBA">
                    <w:rPr>
                      <w:b/>
                      <w:iCs/>
                      <w:sz w:val="18"/>
                      <w:szCs w:val="18"/>
                    </w:rPr>
                    <w:lastRenderedPageBreak/>
                    <w:t>Year Group</w:t>
                  </w:r>
                </w:p>
              </w:tc>
              <w:tc>
                <w:tcPr>
                  <w:tcW w:w="1946" w:type="dxa"/>
                  <w:shd w:val="clear" w:color="auto" w:fill="D9D9D9" w:themeFill="background1" w:themeFillShade="D9"/>
                </w:tcPr>
                <w:p w14:paraId="225F40C4" w14:textId="77777777" w:rsidR="007E2CBA" w:rsidRDefault="007E2CBA" w:rsidP="007E2CBA">
                  <w:pPr>
                    <w:pStyle w:val="TableRowCentered"/>
                    <w:ind w:left="0"/>
                    <w:rPr>
                      <w:b/>
                      <w:iCs/>
                      <w:sz w:val="18"/>
                      <w:szCs w:val="18"/>
                    </w:rPr>
                  </w:pPr>
                  <w:r w:rsidRPr="007E2CBA">
                    <w:rPr>
                      <w:b/>
                      <w:iCs/>
                      <w:sz w:val="18"/>
                      <w:szCs w:val="18"/>
                    </w:rPr>
                    <w:t>Non-disadvantaged</w:t>
                  </w:r>
                </w:p>
                <w:p w14:paraId="272646A2" w14:textId="4DA783F5" w:rsidR="007E2CBA" w:rsidRPr="007E2CBA" w:rsidRDefault="007E2CBA" w:rsidP="007E2CBA">
                  <w:pPr>
                    <w:pStyle w:val="TableRowCentered"/>
                    <w:ind w:left="0"/>
                    <w:rPr>
                      <w:b/>
                      <w:iCs/>
                      <w:sz w:val="18"/>
                      <w:szCs w:val="18"/>
                    </w:rPr>
                  </w:pPr>
                  <w:r>
                    <w:rPr>
                      <w:b/>
                      <w:iCs/>
                      <w:sz w:val="18"/>
                      <w:szCs w:val="18"/>
                    </w:rPr>
                    <w:t>RWM combined EXS+</w:t>
                  </w:r>
                </w:p>
              </w:tc>
              <w:tc>
                <w:tcPr>
                  <w:tcW w:w="1946" w:type="dxa"/>
                  <w:shd w:val="clear" w:color="auto" w:fill="D9D9D9" w:themeFill="background1" w:themeFillShade="D9"/>
                </w:tcPr>
                <w:p w14:paraId="4A119970" w14:textId="77777777" w:rsidR="007E2CBA" w:rsidRDefault="007E2CBA" w:rsidP="007E2CBA">
                  <w:pPr>
                    <w:pStyle w:val="TableRowCentered"/>
                    <w:ind w:left="0"/>
                    <w:rPr>
                      <w:b/>
                      <w:iCs/>
                      <w:sz w:val="18"/>
                      <w:szCs w:val="18"/>
                    </w:rPr>
                  </w:pPr>
                  <w:r w:rsidRPr="007E2CBA">
                    <w:rPr>
                      <w:b/>
                      <w:iCs/>
                      <w:sz w:val="18"/>
                      <w:szCs w:val="18"/>
                    </w:rPr>
                    <w:t>Disadvantaged</w:t>
                  </w:r>
                  <w:r>
                    <w:rPr>
                      <w:b/>
                      <w:iCs/>
                      <w:sz w:val="18"/>
                      <w:szCs w:val="18"/>
                    </w:rPr>
                    <w:t xml:space="preserve"> </w:t>
                  </w:r>
                </w:p>
                <w:p w14:paraId="41F20D2C" w14:textId="77777777" w:rsidR="007E2CBA" w:rsidRDefault="007E2CBA" w:rsidP="007E2CBA">
                  <w:pPr>
                    <w:pStyle w:val="TableRowCentered"/>
                    <w:ind w:left="0"/>
                    <w:rPr>
                      <w:b/>
                      <w:iCs/>
                      <w:sz w:val="18"/>
                      <w:szCs w:val="18"/>
                    </w:rPr>
                  </w:pPr>
                  <w:r>
                    <w:rPr>
                      <w:b/>
                      <w:iCs/>
                      <w:sz w:val="18"/>
                      <w:szCs w:val="18"/>
                    </w:rPr>
                    <w:t>RWM combined</w:t>
                  </w:r>
                </w:p>
                <w:p w14:paraId="02708F98" w14:textId="7D0449D1" w:rsidR="007E2CBA" w:rsidRPr="007E2CBA" w:rsidRDefault="007E2CBA" w:rsidP="007E2CBA">
                  <w:pPr>
                    <w:pStyle w:val="TableRowCentered"/>
                    <w:ind w:left="0"/>
                    <w:rPr>
                      <w:b/>
                      <w:iCs/>
                      <w:sz w:val="18"/>
                      <w:szCs w:val="18"/>
                    </w:rPr>
                  </w:pPr>
                  <w:r>
                    <w:rPr>
                      <w:b/>
                      <w:iCs/>
                      <w:sz w:val="18"/>
                      <w:szCs w:val="18"/>
                    </w:rPr>
                    <w:t>EXS+</w:t>
                  </w:r>
                </w:p>
              </w:tc>
              <w:tc>
                <w:tcPr>
                  <w:tcW w:w="1946" w:type="dxa"/>
                  <w:shd w:val="clear" w:color="auto" w:fill="D9D9D9" w:themeFill="background1" w:themeFillShade="D9"/>
                </w:tcPr>
                <w:p w14:paraId="33416C6C" w14:textId="1340D7EA" w:rsidR="007E2CBA" w:rsidRPr="007E2CBA" w:rsidRDefault="007E2CBA" w:rsidP="007E2CBA">
                  <w:pPr>
                    <w:pStyle w:val="TableRowCentered"/>
                    <w:ind w:left="0"/>
                    <w:rPr>
                      <w:b/>
                      <w:iCs/>
                      <w:sz w:val="18"/>
                      <w:szCs w:val="18"/>
                    </w:rPr>
                  </w:pPr>
                  <w:r w:rsidRPr="007E2CBA">
                    <w:rPr>
                      <w:b/>
                      <w:iCs/>
                      <w:sz w:val="18"/>
                      <w:szCs w:val="18"/>
                    </w:rPr>
                    <w:t>% difference</w:t>
                  </w:r>
                </w:p>
              </w:tc>
            </w:tr>
            <w:tr w:rsidR="007E2CBA" w14:paraId="759F3DF3" w14:textId="77777777" w:rsidTr="007E2CBA">
              <w:tc>
                <w:tcPr>
                  <w:tcW w:w="1945" w:type="dxa"/>
                </w:tcPr>
                <w:p w14:paraId="6151267E" w14:textId="05CA8970" w:rsidR="007E2CBA" w:rsidRPr="007E2CBA" w:rsidRDefault="007E2CBA" w:rsidP="007E2CBA">
                  <w:pPr>
                    <w:pStyle w:val="TableRowCentered"/>
                    <w:ind w:left="0"/>
                    <w:rPr>
                      <w:iCs/>
                      <w:sz w:val="18"/>
                      <w:szCs w:val="18"/>
                    </w:rPr>
                  </w:pPr>
                  <w:r w:rsidRPr="007E2CBA">
                    <w:rPr>
                      <w:iCs/>
                      <w:sz w:val="18"/>
                      <w:szCs w:val="18"/>
                    </w:rPr>
                    <w:t>1</w:t>
                  </w:r>
                </w:p>
              </w:tc>
              <w:tc>
                <w:tcPr>
                  <w:tcW w:w="1946" w:type="dxa"/>
                </w:tcPr>
                <w:p w14:paraId="013E9501" w14:textId="0187AF35" w:rsidR="007E2CBA" w:rsidRPr="007E2CBA" w:rsidRDefault="00A56BF1" w:rsidP="007E2CBA">
                  <w:pPr>
                    <w:pStyle w:val="TableRowCentered"/>
                    <w:ind w:left="0"/>
                    <w:rPr>
                      <w:iCs/>
                      <w:sz w:val="18"/>
                      <w:szCs w:val="18"/>
                    </w:rPr>
                  </w:pPr>
                  <w:r>
                    <w:rPr>
                      <w:iCs/>
                      <w:sz w:val="18"/>
                      <w:szCs w:val="18"/>
                    </w:rPr>
                    <w:t>39%</w:t>
                  </w:r>
                </w:p>
              </w:tc>
              <w:tc>
                <w:tcPr>
                  <w:tcW w:w="1946" w:type="dxa"/>
                </w:tcPr>
                <w:p w14:paraId="58E70A0C" w14:textId="45B493E8" w:rsidR="007E2CBA" w:rsidRPr="007E2CBA" w:rsidRDefault="00A56BF1" w:rsidP="007E2CBA">
                  <w:pPr>
                    <w:pStyle w:val="TableRowCentered"/>
                    <w:ind w:left="0"/>
                    <w:rPr>
                      <w:iCs/>
                      <w:sz w:val="18"/>
                      <w:szCs w:val="18"/>
                    </w:rPr>
                  </w:pPr>
                  <w:r>
                    <w:rPr>
                      <w:iCs/>
                      <w:sz w:val="18"/>
                      <w:szCs w:val="18"/>
                    </w:rPr>
                    <w:t>25%</w:t>
                  </w:r>
                </w:p>
              </w:tc>
              <w:tc>
                <w:tcPr>
                  <w:tcW w:w="1946" w:type="dxa"/>
                </w:tcPr>
                <w:p w14:paraId="32796187" w14:textId="6BBF3304" w:rsidR="007E2CBA" w:rsidRPr="007E2CBA" w:rsidRDefault="00A56BF1" w:rsidP="007E2CBA">
                  <w:pPr>
                    <w:pStyle w:val="TableRowCentered"/>
                    <w:ind w:left="0"/>
                    <w:rPr>
                      <w:iCs/>
                      <w:sz w:val="18"/>
                      <w:szCs w:val="18"/>
                    </w:rPr>
                  </w:pPr>
                  <w:r>
                    <w:rPr>
                      <w:iCs/>
                      <w:sz w:val="18"/>
                      <w:szCs w:val="18"/>
                    </w:rPr>
                    <w:t>-14%</w:t>
                  </w:r>
                </w:p>
              </w:tc>
            </w:tr>
            <w:tr w:rsidR="007E2CBA" w14:paraId="7F9DA001" w14:textId="77777777" w:rsidTr="007E2CBA">
              <w:tc>
                <w:tcPr>
                  <w:tcW w:w="1945" w:type="dxa"/>
                </w:tcPr>
                <w:p w14:paraId="79187F2C" w14:textId="4F9EFA1E" w:rsidR="007E2CBA" w:rsidRPr="007E2CBA" w:rsidRDefault="007E2CBA" w:rsidP="007E2CBA">
                  <w:pPr>
                    <w:pStyle w:val="TableRowCentered"/>
                    <w:ind w:left="0"/>
                    <w:rPr>
                      <w:iCs/>
                      <w:sz w:val="18"/>
                      <w:szCs w:val="18"/>
                    </w:rPr>
                  </w:pPr>
                  <w:r w:rsidRPr="007E2CBA">
                    <w:rPr>
                      <w:iCs/>
                      <w:sz w:val="18"/>
                      <w:szCs w:val="18"/>
                    </w:rPr>
                    <w:t>2</w:t>
                  </w:r>
                </w:p>
              </w:tc>
              <w:tc>
                <w:tcPr>
                  <w:tcW w:w="1946" w:type="dxa"/>
                </w:tcPr>
                <w:p w14:paraId="3BD3AA67" w14:textId="5E2E230F" w:rsidR="007E2CBA" w:rsidRPr="007E2CBA" w:rsidRDefault="00A56BF1" w:rsidP="007E2CBA">
                  <w:pPr>
                    <w:pStyle w:val="TableRowCentered"/>
                    <w:ind w:left="0"/>
                    <w:rPr>
                      <w:iCs/>
                      <w:sz w:val="18"/>
                      <w:szCs w:val="18"/>
                    </w:rPr>
                  </w:pPr>
                  <w:r>
                    <w:rPr>
                      <w:iCs/>
                      <w:sz w:val="18"/>
                      <w:szCs w:val="18"/>
                    </w:rPr>
                    <w:t>33%</w:t>
                  </w:r>
                </w:p>
              </w:tc>
              <w:tc>
                <w:tcPr>
                  <w:tcW w:w="1946" w:type="dxa"/>
                </w:tcPr>
                <w:p w14:paraId="423D0F27" w14:textId="1305250C" w:rsidR="007E2CBA" w:rsidRPr="007E2CBA" w:rsidRDefault="00A56BF1" w:rsidP="007E2CBA">
                  <w:pPr>
                    <w:pStyle w:val="TableRowCentered"/>
                    <w:ind w:left="0"/>
                    <w:rPr>
                      <w:iCs/>
                      <w:sz w:val="18"/>
                      <w:szCs w:val="18"/>
                    </w:rPr>
                  </w:pPr>
                  <w:r>
                    <w:rPr>
                      <w:iCs/>
                      <w:sz w:val="18"/>
                      <w:szCs w:val="18"/>
                    </w:rPr>
                    <w:t>13%</w:t>
                  </w:r>
                </w:p>
              </w:tc>
              <w:tc>
                <w:tcPr>
                  <w:tcW w:w="1946" w:type="dxa"/>
                </w:tcPr>
                <w:p w14:paraId="3B7B2DED" w14:textId="545AB055" w:rsidR="007E2CBA" w:rsidRPr="007E2CBA" w:rsidRDefault="00A56BF1" w:rsidP="007E2CBA">
                  <w:pPr>
                    <w:pStyle w:val="TableRowCentered"/>
                    <w:ind w:left="0"/>
                    <w:rPr>
                      <w:iCs/>
                      <w:sz w:val="18"/>
                      <w:szCs w:val="18"/>
                    </w:rPr>
                  </w:pPr>
                  <w:r>
                    <w:rPr>
                      <w:iCs/>
                      <w:sz w:val="18"/>
                      <w:szCs w:val="18"/>
                    </w:rPr>
                    <w:t>-20%</w:t>
                  </w:r>
                </w:p>
              </w:tc>
            </w:tr>
            <w:tr w:rsidR="007E2CBA" w14:paraId="119A97D3" w14:textId="77777777" w:rsidTr="007E2CBA">
              <w:tc>
                <w:tcPr>
                  <w:tcW w:w="1945" w:type="dxa"/>
                </w:tcPr>
                <w:p w14:paraId="5D104E6E" w14:textId="7A9B4E6C" w:rsidR="007E2CBA" w:rsidRPr="007E2CBA" w:rsidRDefault="007E2CBA" w:rsidP="007E2CBA">
                  <w:pPr>
                    <w:pStyle w:val="TableRowCentered"/>
                    <w:ind w:left="0"/>
                    <w:rPr>
                      <w:iCs/>
                      <w:sz w:val="18"/>
                      <w:szCs w:val="18"/>
                    </w:rPr>
                  </w:pPr>
                  <w:r w:rsidRPr="007E2CBA">
                    <w:rPr>
                      <w:iCs/>
                      <w:sz w:val="18"/>
                      <w:szCs w:val="18"/>
                    </w:rPr>
                    <w:t>3</w:t>
                  </w:r>
                </w:p>
              </w:tc>
              <w:tc>
                <w:tcPr>
                  <w:tcW w:w="1946" w:type="dxa"/>
                </w:tcPr>
                <w:p w14:paraId="559DCCC4" w14:textId="3B961509" w:rsidR="007E2CBA" w:rsidRPr="007E2CBA" w:rsidRDefault="00A56BF1" w:rsidP="007E2CBA">
                  <w:pPr>
                    <w:pStyle w:val="TableRowCentered"/>
                    <w:ind w:left="0"/>
                    <w:rPr>
                      <w:iCs/>
                      <w:sz w:val="18"/>
                      <w:szCs w:val="18"/>
                    </w:rPr>
                  </w:pPr>
                  <w:r>
                    <w:rPr>
                      <w:iCs/>
                      <w:sz w:val="18"/>
                      <w:szCs w:val="18"/>
                    </w:rPr>
                    <w:t>50%</w:t>
                  </w:r>
                </w:p>
              </w:tc>
              <w:tc>
                <w:tcPr>
                  <w:tcW w:w="1946" w:type="dxa"/>
                </w:tcPr>
                <w:p w14:paraId="21C5703E" w14:textId="4165B304" w:rsidR="007E2CBA" w:rsidRPr="007E2CBA" w:rsidRDefault="00A56BF1" w:rsidP="007E2CBA">
                  <w:pPr>
                    <w:pStyle w:val="TableRowCentered"/>
                    <w:ind w:left="0"/>
                    <w:rPr>
                      <w:iCs/>
                      <w:sz w:val="18"/>
                      <w:szCs w:val="18"/>
                    </w:rPr>
                  </w:pPr>
                  <w:r>
                    <w:rPr>
                      <w:iCs/>
                      <w:sz w:val="18"/>
                      <w:szCs w:val="18"/>
                    </w:rPr>
                    <w:t>29%</w:t>
                  </w:r>
                </w:p>
              </w:tc>
              <w:tc>
                <w:tcPr>
                  <w:tcW w:w="1946" w:type="dxa"/>
                </w:tcPr>
                <w:p w14:paraId="2E6FC9B9" w14:textId="4D84E78B" w:rsidR="007E2CBA" w:rsidRPr="007E2CBA" w:rsidRDefault="00A56BF1" w:rsidP="007E2CBA">
                  <w:pPr>
                    <w:pStyle w:val="TableRowCentered"/>
                    <w:ind w:left="0"/>
                    <w:rPr>
                      <w:iCs/>
                      <w:sz w:val="18"/>
                      <w:szCs w:val="18"/>
                    </w:rPr>
                  </w:pPr>
                  <w:r>
                    <w:rPr>
                      <w:iCs/>
                      <w:sz w:val="18"/>
                      <w:szCs w:val="18"/>
                    </w:rPr>
                    <w:t>-21%</w:t>
                  </w:r>
                </w:p>
              </w:tc>
            </w:tr>
            <w:tr w:rsidR="007E2CBA" w14:paraId="18A5932E" w14:textId="77777777" w:rsidTr="007E2CBA">
              <w:tc>
                <w:tcPr>
                  <w:tcW w:w="1945" w:type="dxa"/>
                </w:tcPr>
                <w:p w14:paraId="72BF366B" w14:textId="113A1252" w:rsidR="007E2CBA" w:rsidRPr="007E2CBA" w:rsidRDefault="007E2CBA" w:rsidP="007E2CBA">
                  <w:pPr>
                    <w:pStyle w:val="TableRowCentered"/>
                    <w:ind w:left="0"/>
                    <w:rPr>
                      <w:iCs/>
                      <w:sz w:val="18"/>
                      <w:szCs w:val="18"/>
                    </w:rPr>
                  </w:pPr>
                  <w:r w:rsidRPr="007E2CBA">
                    <w:rPr>
                      <w:iCs/>
                      <w:sz w:val="18"/>
                      <w:szCs w:val="18"/>
                    </w:rPr>
                    <w:t>4</w:t>
                  </w:r>
                </w:p>
              </w:tc>
              <w:tc>
                <w:tcPr>
                  <w:tcW w:w="1946" w:type="dxa"/>
                </w:tcPr>
                <w:p w14:paraId="2C978CA0" w14:textId="1519A6A8" w:rsidR="007E2CBA" w:rsidRPr="007E2CBA" w:rsidRDefault="00A56BF1" w:rsidP="007E2CBA">
                  <w:pPr>
                    <w:pStyle w:val="TableRowCentered"/>
                    <w:ind w:left="0"/>
                    <w:rPr>
                      <w:iCs/>
                      <w:sz w:val="18"/>
                      <w:szCs w:val="18"/>
                    </w:rPr>
                  </w:pPr>
                  <w:r>
                    <w:rPr>
                      <w:iCs/>
                      <w:sz w:val="18"/>
                      <w:szCs w:val="18"/>
                    </w:rPr>
                    <w:t>70%</w:t>
                  </w:r>
                </w:p>
              </w:tc>
              <w:tc>
                <w:tcPr>
                  <w:tcW w:w="1946" w:type="dxa"/>
                </w:tcPr>
                <w:p w14:paraId="4CFAA360" w14:textId="0191C315" w:rsidR="007E2CBA" w:rsidRPr="007E2CBA" w:rsidRDefault="00A56BF1" w:rsidP="007E2CBA">
                  <w:pPr>
                    <w:pStyle w:val="TableRowCentered"/>
                    <w:ind w:left="0"/>
                    <w:rPr>
                      <w:iCs/>
                      <w:sz w:val="18"/>
                      <w:szCs w:val="18"/>
                    </w:rPr>
                  </w:pPr>
                  <w:r>
                    <w:rPr>
                      <w:iCs/>
                      <w:sz w:val="18"/>
                      <w:szCs w:val="18"/>
                    </w:rPr>
                    <w:t>40%</w:t>
                  </w:r>
                </w:p>
              </w:tc>
              <w:tc>
                <w:tcPr>
                  <w:tcW w:w="1946" w:type="dxa"/>
                </w:tcPr>
                <w:p w14:paraId="465A7E21" w14:textId="33F8E62B" w:rsidR="007E2CBA" w:rsidRPr="007E2CBA" w:rsidRDefault="00A56BF1" w:rsidP="007E2CBA">
                  <w:pPr>
                    <w:pStyle w:val="TableRowCentered"/>
                    <w:ind w:left="0"/>
                    <w:rPr>
                      <w:iCs/>
                      <w:sz w:val="18"/>
                      <w:szCs w:val="18"/>
                    </w:rPr>
                  </w:pPr>
                  <w:r>
                    <w:rPr>
                      <w:iCs/>
                      <w:sz w:val="18"/>
                      <w:szCs w:val="18"/>
                    </w:rPr>
                    <w:t>-30%</w:t>
                  </w:r>
                </w:p>
              </w:tc>
            </w:tr>
            <w:tr w:rsidR="007E2CBA" w14:paraId="4F045A96" w14:textId="77777777" w:rsidTr="007E2CBA">
              <w:tc>
                <w:tcPr>
                  <w:tcW w:w="1945" w:type="dxa"/>
                </w:tcPr>
                <w:p w14:paraId="230C015D" w14:textId="4C785073" w:rsidR="007E2CBA" w:rsidRPr="007E2CBA" w:rsidRDefault="007E2CBA" w:rsidP="007E2CBA">
                  <w:pPr>
                    <w:pStyle w:val="TableRowCentered"/>
                    <w:ind w:left="0"/>
                    <w:rPr>
                      <w:iCs/>
                      <w:sz w:val="18"/>
                      <w:szCs w:val="18"/>
                    </w:rPr>
                  </w:pPr>
                  <w:r w:rsidRPr="007E2CBA">
                    <w:rPr>
                      <w:iCs/>
                      <w:sz w:val="18"/>
                      <w:szCs w:val="18"/>
                    </w:rPr>
                    <w:t>5</w:t>
                  </w:r>
                </w:p>
              </w:tc>
              <w:tc>
                <w:tcPr>
                  <w:tcW w:w="1946" w:type="dxa"/>
                </w:tcPr>
                <w:p w14:paraId="1E9D025C" w14:textId="1DAD1495" w:rsidR="007E2CBA" w:rsidRPr="007E2CBA" w:rsidRDefault="00A56BF1" w:rsidP="007E2CBA">
                  <w:pPr>
                    <w:pStyle w:val="TableRowCentered"/>
                    <w:ind w:left="0"/>
                    <w:rPr>
                      <w:iCs/>
                      <w:sz w:val="18"/>
                      <w:szCs w:val="18"/>
                    </w:rPr>
                  </w:pPr>
                  <w:r>
                    <w:rPr>
                      <w:iCs/>
                      <w:sz w:val="18"/>
                      <w:szCs w:val="18"/>
                    </w:rPr>
                    <w:t>79%</w:t>
                  </w:r>
                </w:p>
              </w:tc>
              <w:tc>
                <w:tcPr>
                  <w:tcW w:w="1946" w:type="dxa"/>
                </w:tcPr>
                <w:p w14:paraId="08705865" w14:textId="24748D71" w:rsidR="007E2CBA" w:rsidRPr="007E2CBA" w:rsidRDefault="00A56BF1" w:rsidP="007E2CBA">
                  <w:pPr>
                    <w:pStyle w:val="TableRowCentered"/>
                    <w:ind w:left="0"/>
                    <w:rPr>
                      <w:iCs/>
                      <w:sz w:val="18"/>
                      <w:szCs w:val="18"/>
                    </w:rPr>
                  </w:pPr>
                  <w:r>
                    <w:rPr>
                      <w:iCs/>
                      <w:sz w:val="18"/>
                      <w:szCs w:val="18"/>
                    </w:rPr>
                    <w:t>58%</w:t>
                  </w:r>
                </w:p>
              </w:tc>
              <w:tc>
                <w:tcPr>
                  <w:tcW w:w="1946" w:type="dxa"/>
                </w:tcPr>
                <w:p w14:paraId="58FBCD6B" w14:textId="0739E2E9" w:rsidR="007E2CBA" w:rsidRPr="007E2CBA" w:rsidRDefault="00A56BF1" w:rsidP="007E2CBA">
                  <w:pPr>
                    <w:pStyle w:val="TableRowCentered"/>
                    <w:ind w:left="0"/>
                    <w:rPr>
                      <w:iCs/>
                      <w:sz w:val="18"/>
                      <w:szCs w:val="18"/>
                    </w:rPr>
                  </w:pPr>
                  <w:r>
                    <w:rPr>
                      <w:iCs/>
                      <w:sz w:val="18"/>
                      <w:szCs w:val="18"/>
                    </w:rPr>
                    <w:t>-21%</w:t>
                  </w:r>
                </w:p>
              </w:tc>
            </w:tr>
            <w:tr w:rsidR="007E2CBA" w14:paraId="62016CAE" w14:textId="77777777" w:rsidTr="007E2CBA">
              <w:tc>
                <w:tcPr>
                  <w:tcW w:w="1945" w:type="dxa"/>
                </w:tcPr>
                <w:p w14:paraId="751408BA" w14:textId="6B62760C" w:rsidR="007E2CBA" w:rsidRPr="007E2CBA" w:rsidRDefault="007E2CBA" w:rsidP="007E2CBA">
                  <w:pPr>
                    <w:pStyle w:val="TableRowCentered"/>
                    <w:ind w:left="0"/>
                    <w:rPr>
                      <w:iCs/>
                      <w:sz w:val="18"/>
                      <w:szCs w:val="18"/>
                    </w:rPr>
                  </w:pPr>
                  <w:r w:rsidRPr="007E2CBA">
                    <w:rPr>
                      <w:iCs/>
                      <w:sz w:val="18"/>
                      <w:szCs w:val="18"/>
                    </w:rPr>
                    <w:t>6</w:t>
                  </w:r>
                </w:p>
              </w:tc>
              <w:tc>
                <w:tcPr>
                  <w:tcW w:w="1946" w:type="dxa"/>
                </w:tcPr>
                <w:p w14:paraId="1C9FB86A" w14:textId="3B6D611F" w:rsidR="007E2CBA" w:rsidRPr="007E2CBA" w:rsidRDefault="00A56BF1" w:rsidP="007E2CBA">
                  <w:pPr>
                    <w:pStyle w:val="TableRowCentered"/>
                    <w:ind w:left="0"/>
                    <w:rPr>
                      <w:iCs/>
                      <w:sz w:val="18"/>
                      <w:szCs w:val="18"/>
                    </w:rPr>
                  </w:pPr>
                  <w:r>
                    <w:rPr>
                      <w:iCs/>
                      <w:sz w:val="18"/>
                      <w:szCs w:val="18"/>
                    </w:rPr>
                    <w:t>45%</w:t>
                  </w:r>
                </w:p>
              </w:tc>
              <w:tc>
                <w:tcPr>
                  <w:tcW w:w="1946" w:type="dxa"/>
                </w:tcPr>
                <w:p w14:paraId="36728344" w14:textId="5EA57EB2" w:rsidR="007E2CBA" w:rsidRPr="007E2CBA" w:rsidRDefault="00A56BF1" w:rsidP="007E2CBA">
                  <w:pPr>
                    <w:pStyle w:val="TableRowCentered"/>
                    <w:ind w:left="0"/>
                    <w:rPr>
                      <w:iCs/>
                      <w:sz w:val="18"/>
                      <w:szCs w:val="18"/>
                    </w:rPr>
                  </w:pPr>
                  <w:r>
                    <w:rPr>
                      <w:iCs/>
                      <w:sz w:val="18"/>
                      <w:szCs w:val="18"/>
                    </w:rPr>
                    <w:t>17%</w:t>
                  </w:r>
                </w:p>
              </w:tc>
              <w:tc>
                <w:tcPr>
                  <w:tcW w:w="1946" w:type="dxa"/>
                </w:tcPr>
                <w:p w14:paraId="6222897D" w14:textId="3E88A20C" w:rsidR="007E2CBA" w:rsidRPr="007E2CBA" w:rsidRDefault="00A56BF1" w:rsidP="007E2CBA">
                  <w:pPr>
                    <w:pStyle w:val="TableRowCentered"/>
                    <w:ind w:left="0"/>
                    <w:rPr>
                      <w:iCs/>
                      <w:sz w:val="18"/>
                      <w:szCs w:val="18"/>
                    </w:rPr>
                  </w:pPr>
                  <w:r>
                    <w:rPr>
                      <w:iCs/>
                      <w:sz w:val="18"/>
                      <w:szCs w:val="18"/>
                    </w:rPr>
                    <w:t>-28%</w:t>
                  </w:r>
                </w:p>
              </w:tc>
            </w:tr>
          </w:tbl>
          <w:p w14:paraId="2A7D54FD" w14:textId="2DF3B42B" w:rsidR="00BA0EA3" w:rsidRPr="007E2CBA" w:rsidRDefault="00BA0EA3" w:rsidP="007E2CBA">
            <w:pPr>
              <w:pStyle w:val="TableRowCentered"/>
              <w:jc w:val="left"/>
              <w:rPr>
                <w:iCs/>
                <w:sz w:val="22"/>
                <w:highlight w:val="yellow"/>
              </w:rPr>
            </w:pPr>
          </w:p>
        </w:tc>
      </w:tr>
      <w:tr w:rsidR="00BA0EA3" w14:paraId="6862F07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7385F" w14:textId="1D7A48F7" w:rsidR="00BA0EA3" w:rsidRDefault="00BA0EA3">
            <w:pPr>
              <w:pStyle w:val="TableRow"/>
              <w:rPr>
                <w:sz w:val="22"/>
                <w:szCs w:val="22"/>
              </w:rPr>
            </w:pPr>
            <w:r>
              <w:rPr>
                <w:sz w:val="22"/>
                <w:szCs w:val="22"/>
              </w:rPr>
              <w:lastRenderedPageBreak/>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82EF5" w14:textId="77777777" w:rsidR="00BA0EA3" w:rsidRDefault="00BA0EA3">
            <w:pPr>
              <w:pStyle w:val="TableRowCentered"/>
              <w:jc w:val="left"/>
              <w:rPr>
                <w:iCs/>
                <w:sz w:val="22"/>
              </w:rPr>
            </w:pPr>
            <w:r>
              <w:rPr>
                <w:b/>
                <w:iCs/>
                <w:sz w:val="22"/>
              </w:rPr>
              <w:t>Attendance</w:t>
            </w:r>
          </w:p>
          <w:p w14:paraId="285F1D54" w14:textId="23E200C5" w:rsidR="00BA0EA3" w:rsidRDefault="00BA0EA3">
            <w:pPr>
              <w:pStyle w:val="TableRowCentered"/>
              <w:jc w:val="left"/>
              <w:rPr>
                <w:iCs/>
                <w:sz w:val="22"/>
              </w:rPr>
            </w:pPr>
            <w:r>
              <w:rPr>
                <w:iCs/>
                <w:sz w:val="22"/>
              </w:rPr>
              <w:t>The current attendance for disadvantaged pupils is</w:t>
            </w:r>
            <w:r w:rsidR="00A56BF1">
              <w:rPr>
                <w:iCs/>
                <w:sz w:val="22"/>
              </w:rPr>
              <w:t xml:space="preserve"> 93.5%% compared to 94.8%</w:t>
            </w:r>
            <w:r>
              <w:rPr>
                <w:iCs/>
                <w:sz w:val="22"/>
              </w:rPr>
              <w:t>% for all pupils.</w:t>
            </w:r>
          </w:p>
          <w:p w14:paraId="123A79E5" w14:textId="03BF4E65" w:rsidR="00BA0EA3" w:rsidRPr="00BA0EA3" w:rsidRDefault="00005CDC">
            <w:pPr>
              <w:pStyle w:val="TableRowCentered"/>
              <w:jc w:val="left"/>
              <w:rPr>
                <w:iCs/>
                <w:sz w:val="22"/>
              </w:rPr>
            </w:pPr>
            <w:r>
              <w:rPr>
                <w:iCs/>
                <w:sz w:val="22"/>
              </w:rPr>
              <w:t>22</w:t>
            </w:r>
            <w:r w:rsidR="00BA0EA3">
              <w:rPr>
                <w:iCs/>
                <w:sz w:val="22"/>
              </w:rPr>
              <w:t>% of disadvantaged children have attendance of below 90%.</w:t>
            </w:r>
            <w:bookmarkStart w:id="17" w:name="_GoBack"/>
            <w:bookmarkEnd w:id="17"/>
          </w:p>
        </w:tc>
      </w:tr>
      <w:tr w:rsidR="00BA0EA3" w14:paraId="76AA03C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679C" w14:textId="017C2C08" w:rsidR="00BA0EA3" w:rsidRDefault="00BA0EA3">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AA65A" w14:textId="77777777" w:rsidR="007758F4" w:rsidRDefault="007758F4">
            <w:pPr>
              <w:pStyle w:val="TableRowCentered"/>
              <w:jc w:val="left"/>
              <w:rPr>
                <w:b/>
                <w:iCs/>
                <w:sz w:val="22"/>
              </w:rPr>
            </w:pPr>
            <w:r w:rsidRPr="007758F4">
              <w:rPr>
                <w:b/>
                <w:iCs/>
                <w:sz w:val="22"/>
              </w:rPr>
              <w:t>Unmet needs in the wider family impacts on pupils’ parental support and engagement</w:t>
            </w:r>
          </w:p>
          <w:p w14:paraId="68C4E287" w14:textId="77777777" w:rsidR="00A46574" w:rsidRDefault="007758F4">
            <w:pPr>
              <w:pStyle w:val="TableRowCentered"/>
              <w:jc w:val="left"/>
              <w:rPr>
                <w:iCs/>
                <w:sz w:val="22"/>
              </w:rPr>
            </w:pPr>
            <w:r>
              <w:rPr>
                <w:iCs/>
                <w:sz w:val="22"/>
              </w:rPr>
              <w:t>100% of pupils open to support from s</w:t>
            </w:r>
            <w:r w:rsidR="00A46574">
              <w:rPr>
                <w:iCs/>
                <w:sz w:val="22"/>
              </w:rPr>
              <w:t>ocial care or early help/Traffor</w:t>
            </w:r>
            <w:r>
              <w:rPr>
                <w:iCs/>
                <w:sz w:val="22"/>
              </w:rPr>
              <w:t>d Team Together are disadvantaged.</w:t>
            </w:r>
          </w:p>
          <w:p w14:paraId="5E6F80B8" w14:textId="308FB102" w:rsidR="00BA0EA3" w:rsidRPr="007758F4" w:rsidRDefault="00A46574">
            <w:pPr>
              <w:pStyle w:val="TableRowCentered"/>
              <w:jc w:val="left"/>
              <w:rPr>
                <w:b/>
                <w:iCs/>
                <w:sz w:val="22"/>
              </w:rPr>
            </w:pPr>
            <w:r>
              <w:rPr>
                <w:iCs/>
                <w:sz w:val="22"/>
              </w:rPr>
              <w:t>Parental engagement is a key aspect of the support required.</w:t>
            </w:r>
          </w:p>
        </w:tc>
      </w:tr>
      <w:tr w:rsidR="007758F4" w14:paraId="67E2A55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CF5B" w14:textId="2C42C113" w:rsidR="007758F4" w:rsidRDefault="007758F4">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701F5" w14:textId="77777777" w:rsidR="007758F4" w:rsidRDefault="007758F4" w:rsidP="007758F4">
            <w:pPr>
              <w:pStyle w:val="TableRowCentered"/>
              <w:jc w:val="left"/>
              <w:rPr>
                <w:b/>
                <w:iCs/>
                <w:sz w:val="22"/>
              </w:rPr>
            </w:pPr>
            <w:r>
              <w:rPr>
                <w:b/>
                <w:iCs/>
                <w:sz w:val="22"/>
              </w:rPr>
              <w:t>Social, emotional and mental health needs of children within the school.</w:t>
            </w:r>
          </w:p>
          <w:p w14:paraId="50A1BD29" w14:textId="76FD14EA" w:rsidR="007758F4" w:rsidRDefault="007758F4" w:rsidP="00A46574">
            <w:pPr>
              <w:pStyle w:val="TableRowCentered"/>
              <w:jc w:val="left"/>
              <w:rPr>
                <w:b/>
                <w:iCs/>
                <w:sz w:val="22"/>
              </w:rPr>
            </w:pPr>
            <w:r>
              <w:rPr>
                <w:iCs/>
                <w:sz w:val="22"/>
              </w:rPr>
              <w:t>100% of pupils with SEMH</w:t>
            </w:r>
            <w:r w:rsidR="00A46574">
              <w:rPr>
                <w:iCs/>
                <w:sz w:val="22"/>
              </w:rPr>
              <w:t xml:space="preserve"> as an identified barrier to learning</w:t>
            </w:r>
            <w:r>
              <w:rPr>
                <w:iCs/>
                <w:sz w:val="22"/>
              </w:rPr>
              <w:t xml:space="preserve"> are disadvantaged.</w:t>
            </w:r>
          </w:p>
        </w:tc>
      </w:tr>
      <w:tr w:rsidR="007758F4" w14:paraId="7DB209A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E1E9" w14:textId="3A00FE7D" w:rsidR="007758F4" w:rsidRDefault="007758F4">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5550" w14:textId="77777777" w:rsidR="00A46574" w:rsidRDefault="00A46574">
            <w:pPr>
              <w:pStyle w:val="TableRowCentered"/>
              <w:jc w:val="left"/>
              <w:rPr>
                <w:b/>
                <w:iCs/>
                <w:sz w:val="22"/>
              </w:rPr>
            </w:pPr>
            <w:r>
              <w:rPr>
                <w:b/>
                <w:iCs/>
                <w:sz w:val="22"/>
              </w:rPr>
              <w:t>Pandemic impact</w:t>
            </w:r>
          </w:p>
          <w:p w14:paraId="4EAA7E09" w14:textId="417880A6" w:rsidR="007758F4" w:rsidRDefault="00A46574">
            <w:pPr>
              <w:pStyle w:val="TableRowCentered"/>
              <w:jc w:val="left"/>
              <w:rPr>
                <w:b/>
                <w:iCs/>
                <w:sz w:val="22"/>
              </w:rPr>
            </w:pPr>
            <w:r>
              <w:rPr>
                <w:iCs/>
                <w:sz w:val="22"/>
              </w:rPr>
              <w:t>Assessments, observations and discussions with staff and pupils suggest disadvantaged pupils generally have been impacted more significantly by the pandemic.</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8A2BC7B" w:rsidR="00E66558" w:rsidRDefault="00E15A3E">
            <w:pPr>
              <w:pStyle w:val="TableRow"/>
            </w:pPr>
            <w:r>
              <w:rPr>
                <w:iCs/>
                <w:sz w:val="22"/>
                <w:szCs w:val="22"/>
              </w:rPr>
              <w:t>Improved progress for disadvantaged children within EYFS.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211233E" w:rsidR="00E66558" w:rsidRDefault="00E15A3E">
            <w:pPr>
              <w:pStyle w:val="TableRowCentered"/>
              <w:jc w:val="left"/>
              <w:rPr>
                <w:sz w:val="22"/>
                <w:szCs w:val="22"/>
              </w:rPr>
            </w:pPr>
            <w:r>
              <w:rPr>
                <w:sz w:val="22"/>
                <w:szCs w:val="22"/>
              </w:rPr>
              <w:t>More disadvantaged children are KS1 ready by the end of EYFS.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E98314E" w:rsidR="00E66558" w:rsidRDefault="00E15A3E">
            <w:pPr>
              <w:pStyle w:val="TableRow"/>
              <w:rPr>
                <w:sz w:val="22"/>
                <w:szCs w:val="22"/>
              </w:rPr>
            </w:pPr>
            <w:r>
              <w:rPr>
                <w:sz w:val="22"/>
                <w:szCs w:val="22"/>
              </w:rPr>
              <w:t>Improved oral language skills and vocabulary acquisition among disadvantaged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EC4938B" w:rsidR="00E66558" w:rsidRDefault="00E15A3E">
            <w:pPr>
              <w:pStyle w:val="TableRowCentered"/>
              <w:jc w:val="left"/>
              <w:rPr>
                <w:sz w:val="22"/>
                <w:szCs w:val="22"/>
              </w:rPr>
            </w:pPr>
            <w:r>
              <w:rPr>
                <w:sz w:val="22"/>
                <w:szCs w:val="22"/>
              </w:rPr>
              <w:t>Assessments and observations indicate significantly improved oracy among disadvantaged children. This is evident when triangulated with other sources of evidence including engagement in lessons, book scrutiny, pupil voice and on-going formative assessment.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F00BF4F" w:rsidR="00E66558" w:rsidRDefault="00E15A3E">
            <w:pPr>
              <w:pStyle w:val="TableRow"/>
              <w:rPr>
                <w:sz w:val="22"/>
                <w:szCs w:val="22"/>
              </w:rPr>
            </w:pPr>
            <w:r>
              <w:rPr>
                <w:sz w:val="22"/>
                <w:szCs w:val="22"/>
              </w:rPr>
              <w:t>Improved attainment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B8C21D8" w:rsidR="00E66558" w:rsidRDefault="000A49D8">
            <w:pPr>
              <w:pStyle w:val="TableRowCentered"/>
              <w:jc w:val="left"/>
              <w:rPr>
                <w:sz w:val="22"/>
                <w:szCs w:val="22"/>
              </w:rPr>
            </w:pPr>
            <w:r>
              <w:rPr>
                <w:sz w:val="22"/>
                <w:szCs w:val="22"/>
              </w:rPr>
              <w:t>KS2 outcomes for 2024/2025 demonstrate that 70% of disadvantaged children met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A63461A" w:rsidR="00E66558" w:rsidRDefault="000A49D8">
            <w:pPr>
              <w:pStyle w:val="TableRow"/>
              <w:rPr>
                <w:sz w:val="22"/>
                <w:szCs w:val="22"/>
              </w:rPr>
            </w:pPr>
            <w:r>
              <w:rPr>
                <w:sz w:val="22"/>
                <w:szCs w:val="22"/>
              </w:rPr>
              <w:lastRenderedPageBreak/>
              <w:t>Improved progress and attainment for disadvantaged children with an identified barrier to leaning.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489EA" w14:textId="77777777" w:rsidR="000A49D8" w:rsidRDefault="000A49D8">
            <w:pPr>
              <w:pStyle w:val="TableRowCentered"/>
              <w:jc w:val="left"/>
              <w:rPr>
                <w:sz w:val="22"/>
                <w:szCs w:val="22"/>
              </w:rPr>
            </w:pPr>
            <w:r>
              <w:rPr>
                <w:sz w:val="22"/>
                <w:szCs w:val="22"/>
              </w:rPr>
              <w:t>Increase in progress made by disadvantaged children with SEND from their individual starting points.</w:t>
            </w:r>
          </w:p>
          <w:p w14:paraId="2A7D550E" w14:textId="26365DC3" w:rsidR="00E66558" w:rsidRDefault="000A49D8">
            <w:pPr>
              <w:pStyle w:val="TableRowCentered"/>
              <w:jc w:val="left"/>
              <w:rPr>
                <w:sz w:val="22"/>
                <w:szCs w:val="22"/>
              </w:rPr>
            </w:pPr>
            <w:r>
              <w:rPr>
                <w:sz w:val="22"/>
                <w:szCs w:val="22"/>
              </w:rPr>
              <w:t>More disadvantaged children with SEND meet the expected standard across the curriculum.</w:t>
            </w:r>
          </w:p>
        </w:tc>
      </w:tr>
      <w:tr w:rsidR="000A49D8" w14:paraId="27DB8E3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92771" w14:textId="11C43A8B" w:rsidR="000A49D8" w:rsidRDefault="000A49D8">
            <w:pPr>
              <w:pStyle w:val="TableRow"/>
              <w:rPr>
                <w:sz w:val="22"/>
                <w:szCs w:val="22"/>
              </w:rPr>
            </w:pPr>
            <w:r>
              <w:rPr>
                <w:sz w:val="22"/>
                <w:szCs w:val="22"/>
              </w:rPr>
              <w:t>To achieve and sustain improved wellbeing and resilience for all pupils in our school and particularly those who are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6B93" w14:textId="77777777" w:rsidR="000A49D8" w:rsidRDefault="000A49D8">
            <w:pPr>
              <w:pStyle w:val="TableRowCentered"/>
              <w:jc w:val="left"/>
              <w:rPr>
                <w:sz w:val="22"/>
                <w:szCs w:val="22"/>
              </w:rPr>
            </w:pPr>
            <w:r>
              <w:rPr>
                <w:sz w:val="22"/>
                <w:szCs w:val="22"/>
              </w:rPr>
              <w:t>Improved levels of wellbeing for all children as identified by:</w:t>
            </w:r>
          </w:p>
          <w:p w14:paraId="3AC35FCE" w14:textId="77777777" w:rsidR="000A49D8" w:rsidRDefault="000A49D8" w:rsidP="000A49D8">
            <w:pPr>
              <w:pStyle w:val="TableRowCentered"/>
              <w:numPr>
                <w:ilvl w:val="0"/>
                <w:numId w:val="16"/>
              </w:numPr>
              <w:jc w:val="left"/>
              <w:rPr>
                <w:sz w:val="22"/>
                <w:szCs w:val="22"/>
              </w:rPr>
            </w:pPr>
            <w:r>
              <w:rPr>
                <w:sz w:val="22"/>
                <w:szCs w:val="22"/>
              </w:rPr>
              <w:t>Qualitative data from student voice, student and parent surveys and teacher observations.</w:t>
            </w:r>
          </w:p>
          <w:p w14:paraId="3BF77954" w14:textId="77777777" w:rsidR="000A49D8" w:rsidRDefault="000A49D8" w:rsidP="000A49D8">
            <w:pPr>
              <w:pStyle w:val="TableRowCentered"/>
              <w:numPr>
                <w:ilvl w:val="0"/>
                <w:numId w:val="16"/>
              </w:numPr>
              <w:jc w:val="left"/>
              <w:rPr>
                <w:sz w:val="22"/>
                <w:szCs w:val="22"/>
              </w:rPr>
            </w:pPr>
            <w:r>
              <w:rPr>
                <w:sz w:val="22"/>
                <w:szCs w:val="22"/>
              </w:rPr>
              <w:t>A reduction in behaviour incidents (CPOMS evidence)</w:t>
            </w:r>
          </w:p>
          <w:p w14:paraId="340B12C3" w14:textId="547998D2" w:rsidR="000A49D8" w:rsidRDefault="000A49D8" w:rsidP="000A49D8">
            <w:pPr>
              <w:pStyle w:val="TableRowCentered"/>
              <w:numPr>
                <w:ilvl w:val="0"/>
                <w:numId w:val="16"/>
              </w:numPr>
              <w:jc w:val="left"/>
              <w:rPr>
                <w:sz w:val="22"/>
                <w:szCs w:val="22"/>
              </w:rPr>
            </w:pPr>
            <w:r>
              <w:rPr>
                <w:sz w:val="22"/>
                <w:szCs w:val="22"/>
              </w:rPr>
              <w:t>Increased participation in extra-curricular activities by all children and particularly those who are disadvantaged.</w:t>
            </w:r>
          </w:p>
        </w:tc>
      </w:tr>
      <w:tr w:rsidR="000A49D8" w14:paraId="5D0F41C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57CAE" w14:textId="11DA0E76" w:rsidR="000A49D8" w:rsidRDefault="000A49D8">
            <w:pPr>
              <w:pStyle w:val="TableRow"/>
              <w:rPr>
                <w:sz w:val="22"/>
                <w:szCs w:val="22"/>
              </w:rPr>
            </w:pPr>
            <w:r>
              <w:rPr>
                <w:sz w:val="22"/>
                <w:szCs w:val="22"/>
              </w:rPr>
              <w:t>To achieve and sustain improved attendance for all pupils and particularly those who are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0CBED" w14:textId="77777777" w:rsidR="000A49D8" w:rsidRDefault="000A49D8">
            <w:pPr>
              <w:pStyle w:val="TableRowCentered"/>
              <w:jc w:val="left"/>
              <w:rPr>
                <w:sz w:val="22"/>
                <w:szCs w:val="22"/>
              </w:rPr>
            </w:pPr>
            <w:r>
              <w:rPr>
                <w:sz w:val="22"/>
                <w:szCs w:val="22"/>
              </w:rPr>
              <w:t>Improved attendance for 2024/2025 demonstrated by:</w:t>
            </w:r>
          </w:p>
          <w:p w14:paraId="00A8AF7C" w14:textId="77777777" w:rsidR="000A49D8" w:rsidRDefault="000A49D8" w:rsidP="000A49D8">
            <w:pPr>
              <w:pStyle w:val="TableRowCentered"/>
              <w:numPr>
                <w:ilvl w:val="0"/>
                <w:numId w:val="17"/>
              </w:numPr>
              <w:jc w:val="left"/>
              <w:rPr>
                <w:sz w:val="22"/>
                <w:szCs w:val="22"/>
              </w:rPr>
            </w:pPr>
            <w:r>
              <w:rPr>
                <w:sz w:val="22"/>
                <w:szCs w:val="22"/>
              </w:rPr>
              <w:t>The overall absence rate for all pupils being no more than 4%.</w:t>
            </w:r>
          </w:p>
          <w:p w14:paraId="37909F0B" w14:textId="77777777" w:rsidR="000A49D8" w:rsidRDefault="000A49D8" w:rsidP="000A49D8">
            <w:pPr>
              <w:pStyle w:val="TableRowCentered"/>
              <w:numPr>
                <w:ilvl w:val="0"/>
                <w:numId w:val="17"/>
              </w:numPr>
              <w:jc w:val="left"/>
              <w:rPr>
                <w:sz w:val="22"/>
                <w:szCs w:val="22"/>
              </w:rPr>
            </w:pPr>
            <w:r>
              <w:rPr>
                <w:sz w:val="22"/>
                <w:szCs w:val="22"/>
              </w:rPr>
              <w:t>The attendance gap between disadvantaged pupils and non-disadvantaged pupils being reduced.</w:t>
            </w:r>
          </w:p>
          <w:p w14:paraId="418D1945" w14:textId="6EF6C551" w:rsidR="000A49D8" w:rsidRDefault="000A49D8" w:rsidP="000A49D8">
            <w:pPr>
              <w:pStyle w:val="TableRowCentered"/>
              <w:numPr>
                <w:ilvl w:val="0"/>
                <w:numId w:val="17"/>
              </w:numPr>
              <w:jc w:val="left"/>
              <w:rPr>
                <w:sz w:val="22"/>
                <w:szCs w:val="22"/>
              </w:rPr>
            </w:pPr>
            <w:r>
              <w:rPr>
                <w:sz w:val="22"/>
                <w:szCs w:val="22"/>
              </w:rPr>
              <w:t>The percentage of all pupils who are persistently absent from school being below 9% (national average)</w:t>
            </w:r>
            <w:r w:rsidR="00E81923">
              <w:rPr>
                <w:sz w:val="22"/>
                <w:szCs w:val="22"/>
              </w:rPr>
              <w:t xml:space="preserve"> and the figure among disadvantaged pupils being no more than 9% (national average) lower than their peers.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777777" w:rsidR="00E66558" w:rsidRDefault="009D71E8">
      <w:r>
        <w:t xml:space="preserve">Budgeted cost: £ </w:t>
      </w:r>
      <w:r>
        <w:rPr>
          <w:i/>
          <w:iCs/>
        </w:rPr>
        <w:t>[insert amount]</w:t>
      </w:r>
    </w:p>
    <w:tbl>
      <w:tblPr>
        <w:tblW w:w="5000" w:type="pct"/>
        <w:tblLayout w:type="fixed"/>
        <w:tblCellMar>
          <w:left w:w="10" w:type="dxa"/>
          <w:right w:w="10" w:type="dxa"/>
        </w:tblCellMar>
        <w:tblLook w:val="04A0" w:firstRow="1" w:lastRow="0" w:firstColumn="1" w:lastColumn="0" w:noHBand="0" w:noVBand="1"/>
      </w:tblPr>
      <w:tblGrid>
        <w:gridCol w:w="3539"/>
        <w:gridCol w:w="4114"/>
        <w:gridCol w:w="1833"/>
      </w:tblGrid>
      <w:tr w:rsidR="00E66558" w14:paraId="2A7D5519" w14:textId="77777777" w:rsidTr="00E10CC9">
        <w:tc>
          <w:tcPr>
            <w:tcW w:w="353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3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E10CC9">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C2034" w14:textId="77777777" w:rsidR="000E2755" w:rsidRDefault="000E2755" w:rsidP="000E2755">
            <w:pPr>
              <w:pStyle w:val="TableRow"/>
              <w:ind w:left="0"/>
              <w:rPr>
                <w:iCs/>
                <w:sz w:val="22"/>
                <w:szCs w:val="22"/>
              </w:rPr>
            </w:pPr>
            <w:r>
              <w:rPr>
                <w:iCs/>
                <w:sz w:val="22"/>
                <w:szCs w:val="22"/>
              </w:rPr>
              <w:lastRenderedPageBreak/>
              <w:t>Continue to embed the synthetic phonics programme across the school.</w:t>
            </w:r>
          </w:p>
          <w:p w14:paraId="7D7FC54B" w14:textId="77777777" w:rsidR="000E2755" w:rsidRDefault="000E2755" w:rsidP="000E2755">
            <w:pPr>
              <w:pStyle w:val="TableRow"/>
              <w:ind w:left="0"/>
              <w:rPr>
                <w:iCs/>
                <w:sz w:val="22"/>
                <w:szCs w:val="22"/>
              </w:rPr>
            </w:pPr>
          </w:p>
          <w:p w14:paraId="2A7D551A" w14:textId="645F3627" w:rsidR="00E66558" w:rsidRDefault="000E2755" w:rsidP="000E2755">
            <w:pPr>
              <w:pStyle w:val="TableRow"/>
              <w:ind w:left="0"/>
            </w:pPr>
            <w:r>
              <w:rPr>
                <w:iCs/>
                <w:sz w:val="22"/>
                <w:szCs w:val="22"/>
              </w:rPr>
              <w:t>In partnership with our local English Hub, we will continue to fund extensive training and on-going coaching support for all staff.</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805C" w14:textId="77777777" w:rsidR="000E2755" w:rsidRDefault="000E2755">
            <w:pPr>
              <w:pStyle w:val="TableRowCentered"/>
              <w:jc w:val="left"/>
              <w:rPr>
                <w:sz w:val="22"/>
              </w:rPr>
            </w:pPr>
            <w:r>
              <w:rPr>
                <w:sz w:val="22"/>
              </w:rPr>
              <w:t>Phonics approaches have a strong evidence base that indicates a positive impact on the accuracy of word reading (though not necessarily comprehension), particularly for disadvantaged pupils.</w:t>
            </w:r>
          </w:p>
          <w:p w14:paraId="4A78BD62" w14:textId="77777777" w:rsidR="000E2755" w:rsidRDefault="000E2755">
            <w:pPr>
              <w:pStyle w:val="TableRowCentered"/>
              <w:jc w:val="left"/>
              <w:rPr>
                <w:sz w:val="22"/>
              </w:rPr>
            </w:pPr>
          </w:p>
          <w:p w14:paraId="2A7D551B" w14:textId="0F2E89A9" w:rsidR="00E66558" w:rsidRDefault="00BC6547" w:rsidP="00A46574">
            <w:pPr>
              <w:pStyle w:val="TableRowCentered"/>
              <w:jc w:val="left"/>
              <w:rPr>
                <w:sz w:val="22"/>
              </w:rPr>
            </w:pPr>
            <w:hyperlink r:id="rId11" w:history="1">
              <w:r w:rsidR="000E2755" w:rsidRPr="00D41063">
                <w:rPr>
                  <w:rStyle w:val="Hyperlink"/>
                  <w:sz w:val="22"/>
                </w:rPr>
                <w:t>https://educationendowmentfoundation.org.uk/education-evidence/teaching-learning-toolkit/phonics</w:t>
              </w:r>
            </w:hyperlink>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23DC541" w:rsidR="00E66558" w:rsidRDefault="000E2755">
            <w:pPr>
              <w:pStyle w:val="TableRowCentered"/>
              <w:jc w:val="left"/>
              <w:rPr>
                <w:sz w:val="22"/>
              </w:rPr>
            </w:pPr>
            <w:r>
              <w:rPr>
                <w:sz w:val="22"/>
              </w:rPr>
              <w:t>4, 3, 9</w:t>
            </w:r>
          </w:p>
        </w:tc>
      </w:tr>
      <w:tr w:rsidR="00E66558" w14:paraId="2A7D5521" w14:textId="77777777" w:rsidTr="00E10CC9">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D6D7" w14:textId="0D15D996" w:rsidR="00A46574" w:rsidRDefault="00A46574">
            <w:pPr>
              <w:pStyle w:val="TableRow"/>
              <w:rPr>
                <w:sz w:val="22"/>
              </w:rPr>
            </w:pPr>
            <w:r>
              <w:rPr>
                <w:sz w:val="22"/>
              </w:rPr>
              <w:t>Implementing whole class adaptive and Quality First Teaching across the curriculum.</w:t>
            </w:r>
          </w:p>
          <w:p w14:paraId="413D2640" w14:textId="77777777" w:rsidR="00A46574" w:rsidRDefault="00A46574">
            <w:pPr>
              <w:pStyle w:val="TableRow"/>
              <w:rPr>
                <w:sz w:val="22"/>
              </w:rPr>
            </w:pPr>
          </w:p>
          <w:p w14:paraId="1E2E2279" w14:textId="35BFC379" w:rsidR="00A46574" w:rsidRDefault="00A46574">
            <w:pPr>
              <w:pStyle w:val="TableRow"/>
              <w:rPr>
                <w:sz w:val="22"/>
              </w:rPr>
            </w:pPr>
            <w:r>
              <w:rPr>
                <w:sz w:val="22"/>
              </w:rPr>
              <w:t>Focusing on resilience, growth mindset, and adaptive teaching strategies across the curriculum, class based support and learning environments.</w:t>
            </w:r>
          </w:p>
          <w:p w14:paraId="4D8FE545" w14:textId="77777777" w:rsidR="00A46574" w:rsidRDefault="00A46574">
            <w:pPr>
              <w:pStyle w:val="TableRow"/>
              <w:rPr>
                <w:sz w:val="22"/>
              </w:rPr>
            </w:pPr>
          </w:p>
          <w:p w14:paraId="2A7D551E" w14:textId="23E8ECE0" w:rsidR="00E66558" w:rsidRPr="00A46574" w:rsidRDefault="00A46574">
            <w:pPr>
              <w:pStyle w:val="TableRow"/>
              <w:rPr>
                <w:sz w:val="22"/>
              </w:rPr>
            </w:pPr>
            <w:r>
              <w:rPr>
                <w:sz w:val="22"/>
              </w:rPr>
              <w:t>We will fund whole staff CPD and leader release time to support the implementation of these strategies through on-going CPD and coaching.</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89FC" w14:textId="6FC3C4D6" w:rsidR="00A46574" w:rsidRDefault="00A46574">
            <w:pPr>
              <w:pStyle w:val="TableRowCentered"/>
              <w:jc w:val="left"/>
              <w:rPr>
                <w:sz w:val="22"/>
              </w:rPr>
            </w:pPr>
            <w:r>
              <w:rPr>
                <w:sz w:val="22"/>
              </w:rPr>
              <w:t xml:space="preserve">Adaptive and </w:t>
            </w:r>
            <w:r w:rsidR="00DF7A6B">
              <w:rPr>
                <w:sz w:val="22"/>
              </w:rPr>
              <w:t>Quality</w:t>
            </w:r>
            <w:r>
              <w:rPr>
                <w:sz w:val="22"/>
              </w:rPr>
              <w:t xml:space="preserve"> First Teaching should be a priority for pupil premium spending to ensure the daily education of pupils is of the highest standard across the curriculum.</w:t>
            </w:r>
          </w:p>
          <w:p w14:paraId="5628C04E" w14:textId="77777777" w:rsidR="00A46574" w:rsidRDefault="00A46574">
            <w:pPr>
              <w:pStyle w:val="TableRowCentered"/>
              <w:jc w:val="left"/>
              <w:rPr>
                <w:sz w:val="22"/>
              </w:rPr>
            </w:pPr>
          </w:p>
          <w:p w14:paraId="4E303B34" w14:textId="1403866C" w:rsidR="00A46574" w:rsidRDefault="00BC6547">
            <w:pPr>
              <w:pStyle w:val="TableRowCentered"/>
              <w:jc w:val="left"/>
              <w:rPr>
                <w:sz w:val="22"/>
              </w:rPr>
            </w:pPr>
            <w:hyperlink r:id="rId12" w:history="1">
              <w:r w:rsidR="00A46574" w:rsidRPr="00D41063">
                <w:rPr>
                  <w:rStyle w:val="Hyperlink"/>
                  <w:sz w:val="22"/>
                </w:rPr>
                <w:t>https://educationendowmentfoundation.org.uk/guidance-for-teachers/using-pupil-premium</w:t>
              </w:r>
            </w:hyperlink>
          </w:p>
          <w:p w14:paraId="31A4DFF4" w14:textId="77777777" w:rsidR="00A46574" w:rsidRDefault="00A46574">
            <w:pPr>
              <w:pStyle w:val="TableRowCentered"/>
              <w:jc w:val="left"/>
              <w:rPr>
                <w:sz w:val="22"/>
              </w:rPr>
            </w:pPr>
          </w:p>
          <w:p w14:paraId="2A7D551F" w14:textId="4AF199C4" w:rsidR="00E66558" w:rsidRDefault="00E66558">
            <w:pPr>
              <w:pStyle w:val="TableRowCentered"/>
              <w:jc w:val="left"/>
              <w:rPr>
                <w:sz w:val="22"/>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DA8AF4C" w:rsidR="00E66558" w:rsidRDefault="00A46574">
            <w:pPr>
              <w:pStyle w:val="TableRowCentered"/>
              <w:jc w:val="left"/>
              <w:rPr>
                <w:sz w:val="22"/>
              </w:rPr>
            </w:pPr>
            <w:r>
              <w:rPr>
                <w:sz w:val="22"/>
              </w:rPr>
              <w:t>1, 2, 3, 4, 5, 9</w:t>
            </w:r>
          </w:p>
        </w:tc>
      </w:tr>
      <w:tr w:rsidR="00A46574" w14:paraId="23792D80" w14:textId="77777777" w:rsidTr="00E10CC9">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FD2F2" w14:textId="77777777" w:rsidR="00A46574" w:rsidRDefault="00A46574">
            <w:pPr>
              <w:pStyle w:val="TableRow"/>
              <w:rPr>
                <w:sz w:val="22"/>
              </w:rPr>
            </w:pPr>
            <w:r>
              <w:rPr>
                <w:sz w:val="22"/>
              </w:rPr>
              <w:t>Further embedding key vocabulary development as a thread in all subjects across the curriculum.</w:t>
            </w:r>
          </w:p>
          <w:p w14:paraId="1B694ED3" w14:textId="77777777" w:rsidR="00A46574" w:rsidRDefault="00A46574">
            <w:pPr>
              <w:pStyle w:val="TableRow"/>
              <w:rPr>
                <w:sz w:val="22"/>
              </w:rPr>
            </w:pPr>
          </w:p>
          <w:p w14:paraId="34FA390A" w14:textId="66C7A394" w:rsidR="00A46574" w:rsidRDefault="00A46574">
            <w:pPr>
              <w:pStyle w:val="TableRow"/>
              <w:rPr>
                <w:sz w:val="22"/>
              </w:rPr>
            </w:pPr>
            <w:r>
              <w:rPr>
                <w:sz w:val="22"/>
              </w:rPr>
              <w:t>We will fund staff training through CPD and mentoring with a strong focus on children with English as an additional language and those with a barrier to learning (particularly SLCN).</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F892E" w14:textId="77777777" w:rsidR="00A46574" w:rsidRDefault="00A46574">
            <w:pPr>
              <w:pStyle w:val="TableRowCentered"/>
              <w:jc w:val="left"/>
              <w:rPr>
                <w:sz w:val="22"/>
              </w:rPr>
            </w:pPr>
            <w:r>
              <w:rPr>
                <w:sz w:val="22"/>
              </w:rPr>
              <w:t xml:space="preserve">There is a strong evidence base that suggests that oral language interventions have high impact on reading and </w:t>
            </w:r>
            <w:r w:rsidR="00AE07A7">
              <w:rPr>
                <w:sz w:val="22"/>
              </w:rPr>
              <w:t>knowledge retention ad recall.</w:t>
            </w:r>
          </w:p>
          <w:p w14:paraId="25153881" w14:textId="77777777" w:rsidR="00AE07A7" w:rsidRDefault="00AE07A7">
            <w:pPr>
              <w:pStyle w:val="TableRowCentered"/>
              <w:jc w:val="left"/>
              <w:rPr>
                <w:sz w:val="22"/>
              </w:rPr>
            </w:pPr>
          </w:p>
          <w:p w14:paraId="181AC7D4" w14:textId="31B3C33B" w:rsidR="00AE07A7" w:rsidRDefault="00BC6547">
            <w:pPr>
              <w:pStyle w:val="TableRowCentered"/>
              <w:jc w:val="left"/>
              <w:rPr>
                <w:sz w:val="22"/>
              </w:rPr>
            </w:pPr>
            <w:hyperlink r:id="rId13" w:history="1">
              <w:r w:rsidR="00AE07A7" w:rsidRPr="00D41063">
                <w:rPr>
                  <w:rStyle w:val="Hyperlink"/>
                  <w:sz w:val="22"/>
                </w:rPr>
                <w:t>https://educationendowmentfoundation.org.uk/education-evidence/teaching-learning-toolkit/oral-language-interventions</w:t>
              </w:r>
            </w:hyperlink>
          </w:p>
          <w:p w14:paraId="7E6B0E18" w14:textId="4DECFFB6" w:rsidR="00AE07A7" w:rsidRDefault="00AE07A7">
            <w:pPr>
              <w:pStyle w:val="TableRowCentered"/>
              <w:jc w:val="left"/>
              <w:rPr>
                <w:sz w:val="22"/>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AA46" w14:textId="2F57C3D5" w:rsidR="00A46574" w:rsidRDefault="00AE07A7">
            <w:pPr>
              <w:pStyle w:val="TableRowCentered"/>
              <w:jc w:val="left"/>
              <w:rPr>
                <w:sz w:val="22"/>
              </w:rPr>
            </w:pPr>
            <w:r>
              <w:rPr>
                <w:sz w:val="22"/>
              </w:rPr>
              <w:t>1, 2, 5, 9</w:t>
            </w:r>
          </w:p>
        </w:tc>
      </w:tr>
      <w:tr w:rsidR="00AE07A7" w14:paraId="5B5A2227" w14:textId="77777777" w:rsidTr="00E10CC9">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A1673" w14:textId="77777777" w:rsidR="00AE07A7" w:rsidRDefault="00AE07A7">
            <w:pPr>
              <w:pStyle w:val="TableRow"/>
              <w:rPr>
                <w:sz w:val="22"/>
              </w:rPr>
            </w:pPr>
            <w:r>
              <w:rPr>
                <w:sz w:val="22"/>
              </w:rPr>
              <w:t>Enhancement of our EYFS provision through resources and staff CPD.</w:t>
            </w:r>
          </w:p>
          <w:p w14:paraId="33162A7F" w14:textId="77777777" w:rsidR="00AE07A7" w:rsidRDefault="00AE07A7">
            <w:pPr>
              <w:pStyle w:val="TableRow"/>
              <w:rPr>
                <w:sz w:val="22"/>
              </w:rPr>
            </w:pPr>
          </w:p>
          <w:p w14:paraId="21730205" w14:textId="555D136B" w:rsidR="00AE07A7" w:rsidRDefault="00AE07A7">
            <w:pPr>
              <w:pStyle w:val="TableRow"/>
              <w:rPr>
                <w:sz w:val="22"/>
              </w:rPr>
            </w:pPr>
            <w:r>
              <w:rPr>
                <w:sz w:val="22"/>
              </w:rPr>
              <w:t>Investment in CPD for our EYFS Lead</w:t>
            </w:r>
            <w:r w:rsidR="00BA59B1">
              <w:rPr>
                <w:sz w:val="22"/>
              </w:rPr>
              <w:t xml:space="preserve"> and investment in the outdoor learning environment.</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735DD" w14:textId="77777777" w:rsidR="00BA59B1" w:rsidRDefault="00BA59B1">
            <w:pPr>
              <w:pStyle w:val="TableRowCentered"/>
              <w:jc w:val="left"/>
              <w:rPr>
                <w:sz w:val="22"/>
              </w:rPr>
            </w:pPr>
            <w:r>
              <w:rPr>
                <w:sz w:val="22"/>
              </w:rPr>
              <w:t>There is a strong evidence base to suggest that early language development can be promoted in all areas of the EYFS curriculum and these have an positive impact on pupil outcomes.</w:t>
            </w:r>
          </w:p>
          <w:p w14:paraId="34B81EA4" w14:textId="77777777" w:rsidR="00BA59B1" w:rsidRDefault="00BA59B1">
            <w:pPr>
              <w:pStyle w:val="TableRowCentered"/>
              <w:jc w:val="left"/>
              <w:rPr>
                <w:sz w:val="22"/>
              </w:rPr>
            </w:pPr>
          </w:p>
          <w:p w14:paraId="369BA5C2" w14:textId="7A5DF9DA" w:rsidR="00BA59B1" w:rsidRDefault="00BC6547">
            <w:pPr>
              <w:pStyle w:val="TableRowCentered"/>
              <w:jc w:val="left"/>
              <w:rPr>
                <w:sz w:val="22"/>
              </w:rPr>
            </w:pPr>
            <w:hyperlink r:id="rId14" w:history="1">
              <w:r w:rsidR="00BA59B1" w:rsidRPr="00D41063">
                <w:rPr>
                  <w:rStyle w:val="Hyperlink"/>
                  <w:sz w:val="22"/>
                </w:rPr>
                <w:t>https://educationendowmentfoundation.org.uk/education-evidence/evidence-reviews/early-language</w:t>
              </w:r>
            </w:hyperlink>
          </w:p>
          <w:p w14:paraId="54212FC4" w14:textId="171C6000" w:rsidR="00AE07A7" w:rsidRDefault="00AE07A7">
            <w:pPr>
              <w:pStyle w:val="TableRowCentered"/>
              <w:jc w:val="left"/>
              <w:rPr>
                <w:sz w:val="22"/>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243A7" w14:textId="7226AE46" w:rsidR="00AE07A7" w:rsidRDefault="00BA59B1">
            <w:pPr>
              <w:pStyle w:val="TableRowCentered"/>
              <w:jc w:val="left"/>
              <w:rPr>
                <w:sz w:val="22"/>
              </w:rPr>
            </w:pPr>
            <w:r>
              <w:rPr>
                <w:sz w:val="22"/>
              </w:rPr>
              <w:t>1, 8</w:t>
            </w:r>
          </w:p>
        </w:tc>
      </w:tr>
      <w:tr w:rsidR="00BA59B1" w14:paraId="354FFB8C" w14:textId="77777777" w:rsidTr="00E10CC9">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B63F" w14:textId="77777777" w:rsidR="00BA59B1" w:rsidRDefault="00BA59B1">
            <w:pPr>
              <w:pStyle w:val="TableRow"/>
              <w:rPr>
                <w:sz w:val="22"/>
              </w:rPr>
            </w:pPr>
            <w:r>
              <w:rPr>
                <w:sz w:val="22"/>
              </w:rPr>
              <w:t>Inclusive strategies and support for children with SEND. This includes external support and bespoke CPD.</w:t>
            </w:r>
          </w:p>
          <w:p w14:paraId="0CA8BAC2" w14:textId="77777777" w:rsidR="00BA59B1" w:rsidRDefault="00BA59B1">
            <w:pPr>
              <w:pStyle w:val="TableRow"/>
              <w:rPr>
                <w:sz w:val="22"/>
              </w:rPr>
            </w:pPr>
          </w:p>
          <w:p w14:paraId="744F527B" w14:textId="1B08ED23" w:rsidR="00BA59B1" w:rsidRDefault="00BA59B1">
            <w:pPr>
              <w:pStyle w:val="TableRow"/>
              <w:rPr>
                <w:sz w:val="22"/>
              </w:rPr>
            </w:pPr>
            <w:r>
              <w:rPr>
                <w:sz w:val="22"/>
              </w:rPr>
              <w:t xml:space="preserve">The SENCo is currently undertaking masters level CPD. The school is </w:t>
            </w:r>
            <w:r w:rsidR="0056083A">
              <w:rPr>
                <w:sz w:val="22"/>
              </w:rPr>
              <w:t>committed to the Re</w:t>
            </w:r>
            <w:r>
              <w:rPr>
                <w:sz w:val="22"/>
              </w:rPr>
              <w:t>lational Inclusion programme run by the Local Authority.  The staff will receive on-going CPD from an educational psychologist.</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1A58" w14:textId="40309D64" w:rsidR="00BA59B1" w:rsidRDefault="00BA59B1">
            <w:pPr>
              <w:pStyle w:val="TableRowCentered"/>
              <w:jc w:val="left"/>
              <w:rPr>
                <w:sz w:val="22"/>
              </w:rPr>
            </w:pPr>
            <w:r>
              <w:rPr>
                <w:sz w:val="22"/>
              </w:rPr>
              <w:lastRenderedPageBreak/>
              <w:t xml:space="preserve">Ensuring that SEND children have full and equal access to a high quality curriculum that is tailored to their needs is a key recommendation of the </w:t>
            </w:r>
            <w:r>
              <w:rPr>
                <w:sz w:val="22"/>
              </w:rPr>
              <w:lastRenderedPageBreak/>
              <w:t>EEF SEND review. This is especially important when children have multiple barriers to learning.</w:t>
            </w:r>
          </w:p>
          <w:p w14:paraId="125EAED7" w14:textId="77777777" w:rsidR="00BA59B1" w:rsidRDefault="00BA59B1">
            <w:pPr>
              <w:pStyle w:val="TableRowCentered"/>
              <w:jc w:val="left"/>
              <w:rPr>
                <w:sz w:val="22"/>
              </w:rPr>
            </w:pPr>
          </w:p>
          <w:p w14:paraId="2857FFF0" w14:textId="129D311B" w:rsidR="00BA59B1" w:rsidRDefault="00BC6547">
            <w:pPr>
              <w:pStyle w:val="TableRowCentered"/>
              <w:jc w:val="left"/>
              <w:rPr>
                <w:sz w:val="22"/>
              </w:rPr>
            </w:pPr>
            <w:hyperlink r:id="rId15" w:history="1">
              <w:r w:rsidR="00BA59B1" w:rsidRPr="00D41063">
                <w:rPr>
                  <w:rStyle w:val="Hyperlink"/>
                  <w:sz w:val="22"/>
                </w:rPr>
                <w:t>https://educationendowmentfoundation.org.uk/education-evidence/guidance-reports/send</w:t>
              </w:r>
            </w:hyperlink>
          </w:p>
          <w:p w14:paraId="221C2615" w14:textId="4A729201" w:rsidR="00BA59B1" w:rsidRDefault="00BA59B1">
            <w:pPr>
              <w:pStyle w:val="TableRowCentered"/>
              <w:jc w:val="left"/>
              <w:rPr>
                <w:sz w:val="22"/>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AE99" w14:textId="5B66CAB0" w:rsidR="00BA59B1" w:rsidRDefault="00BA59B1">
            <w:pPr>
              <w:pStyle w:val="TableRowCentered"/>
              <w:jc w:val="left"/>
              <w:rPr>
                <w:sz w:val="22"/>
              </w:rPr>
            </w:pPr>
            <w:r>
              <w:rPr>
                <w:sz w:val="22"/>
              </w:rPr>
              <w:lastRenderedPageBreak/>
              <w:t>1, 3, 5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7777777" w:rsidR="00E66558" w:rsidRDefault="009D71E8">
      <w:r>
        <w:t xml:space="preserve">Budgeted cost: £ </w:t>
      </w:r>
      <w:r>
        <w:rPr>
          <w:i/>
          <w:iCs/>
        </w:rPr>
        <w:t>[insert amount]</w:t>
      </w:r>
    </w:p>
    <w:tbl>
      <w:tblPr>
        <w:tblW w:w="5000" w:type="pct"/>
        <w:tblLayout w:type="fixed"/>
        <w:tblCellMar>
          <w:left w:w="10" w:type="dxa"/>
          <w:right w:w="10" w:type="dxa"/>
        </w:tblCellMar>
        <w:tblLook w:val="04A0" w:firstRow="1" w:lastRow="0" w:firstColumn="1" w:lastColumn="0" w:noHBand="0" w:noVBand="1"/>
      </w:tblPr>
      <w:tblGrid>
        <w:gridCol w:w="3681"/>
        <w:gridCol w:w="4080"/>
        <w:gridCol w:w="1725"/>
      </w:tblGrid>
      <w:tr w:rsidR="00E66558" w14:paraId="2A7D5528" w14:textId="77777777" w:rsidTr="003D1DEA">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0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72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3D1DE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FCDF" w14:textId="77777777" w:rsidR="0056083A" w:rsidRDefault="0056083A" w:rsidP="0056083A">
            <w:pPr>
              <w:pStyle w:val="TableRow"/>
              <w:ind w:left="0"/>
            </w:pPr>
            <w:r>
              <w:t>Same day interventions take place in every class each afternoon.</w:t>
            </w:r>
          </w:p>
          <w:p w14:paraId="0C7EC493" w14:textId="77777777" w:rsidR="0056083A" w:rsidRDefault="0056083A" w:rsidP="0056083A">
            <w:pPr>
              <w:pStyle w:val="TableRow"/>
              <w:ind w:left="0"/>
            </w:pPr>
          </w:p>
          <w:p w14:paraId="2A7D5529" w14:textId="16439F67" w:rsidR="00E66558" w:rsidRDefault="0056083A" w:rsidP="0056083A">
            <w:pPr>
              <w:pStyle w:val="TableRow"/>
              <w:ind w:left="0"/>
            </w:pPr>
            <w:r>
              <w:t>We will fund daily intervention sessions for pupils in order to support them to embed the core learning from the R/W/M sessions each day. This will support children in overcoming learning “wobbles”. We aim for no child to start the next day behind and we aim to operate a “keep up” not “catch</w:t>
            </w:r>
            <w:r w:rsidR="003D1DEA">
              <w:t xml:space="preserve"> up” </w:t>
            </w:r>
            <w:r>
              <w:t>approach to learning interventions.</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FE0E" w14:textId="77777777" w:rsidR="003D1DEA" w:rsidRDefault="003D1DEA">
            <w:pPr>
              <w:pStyle w:val="TableRowCentered"/>
              <w:jc w:val="left"/>
              <w:rPr>
                <w:sz w:val="22"/>
              </w:rPr>
            </w:pPr>
            <w:r>
              <w:rPr>
                <w:sz w:val="22"/>
              </w:rPr>
              <w:t>High quality feedback and support has a significant impact on pupil progress and outcomes.</w:t>
            </w:r>
          </w:p>
          <w:p w14:paraId="387805DA" w14:textId="77777777" w:rsidR="003D1DEA" w:rsidRDefault="003D1DEA">
            <w:pPr>
              <w:pStyle w:val="TableRowCentered"/>
              <w:jc w:val="left"/>
              <w:rPr>
                <w:sz w:val="22"/>
              </w:rPr>
            </w:pPr>
          </w:p>
          <w:p w14:paraId="400CB793" w14:textId="16369DAA" w:rsidR="003D1DEA" w:rsidRDefault="00BC6547">
            <w:pPr>
              <w:pStyle w:val="TableRowCentered"/>
              <w:jc w:val="left"/>
              <w:rPr>
                <w:sz w:val="22"/>
              </w:rPr>
            </w:pPr>
            <w:hyperlink r:id="rId16" w:history="1">
              <w:r w:rsidR="003D1DEA" w:rsidRPr="005667FE">
                <w:rPr>
                  <w:rStyle w:val="Hyperlink"/>
                  <w:sz w:val="22"/>
                </w:rPr>
                <w:t>https://educationendowmentfoundation.org.uk/education-evidence/guidance-reports/feedback</w:t>
              </w:r>
            </w:hyperlink>
          </w:p>
          <w:p w14:paraId="2A7D552A" w14:textId="4481BBC1" w:rsidR="00E66558" w:rsidRDefault="00E66558">
            <w:pPr>
              <w:pStyle w:val="TableRowCentered"/>
              <w:jc w:val="left"/>
              <w:rPr>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3218081" w:rsidR="00E66558" w:rsidRDefault="003D1DEA">
            <w:pPr>
              <w:pStyle w:val="TableRowCentered"/>
              <w:jc w:val="left"/>
              <w:rPr>
                <w:sz w:val="22"/>
              </w:rPr>
            </w:pPr>
            <w:r>
              <w:rPr>
                <w:sz w:val="22"/>
              </w:rPr>
              <w:t>2, 3, 5, 9</w:t>
            </w:r>
          </w:p>
        </w:tc>
      </w:tr>
      <w:tr w:rsidR="00E66558" w14:paraId="2A7D5530" w14:textId="77777777" w:rsidTr="003D1DE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942D880" w:rsidR="00E66558" w:rsidRPr="003D1DEA" w:rsidRDefault="003D1DEA">
            <w:pPr>
              <w:pStyle w:val="TableRow"/>
              <w:rPr>
                <w:sz w:val="22"/>
              </w:rPr>
            </w:pPr>
            <w:r>
              <w:rPr>
                <w:sz w:val="22"/>
              </w:rPr>
              <w:t>Additional phonics sessions for pupils who require further phonics support.  These will be provided in line with guidance from our English Hub,</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C17F" w14:textId="77777777" w:rsidR="00066274" w:rsidRDefault="003D1DEA">
            <w:pPr>
              <w:pStyle w:val="TableRowCentered"/>
              <w:jc w:val="left"/>
              <w:rPr>
                <w:sz w:val="22"/>
              </w:rPr>
            </w:pPr>
            <w:r>
              <w:rPr>
                <w:sz w:val="22"/>
              </w:rPr>
              <w:t>Phonics approaches have a strong evidence base indicating a positive impact on pupils, particularly from disadvantaged backgrounds. Targeted phonics intervention</w:t>
            </w:r>
            <w:r w:rsidR="00066274">
              <w:rPr>
                <w:sz w:val="22"/>
              </w:rPr>
              <w:t>s have been shown to be more effective when delivered as regular sessions over a period of up to 12 weeks.</w:t>
            </w:r>
          </w:p>
          <w:p w14:paraId="245D1AD9" w14:textId="77777777" w:rsidR="00066274" w:rsidRDefault="00066274">
            <w:pPr>
              <w:pStyle w:val="TableRowCentered"/>
              <w:jc w:val="left"/>
              <w:rPr>
                <w:sz w:val="22"/>
              </w:rPr>
            </w:pPr>
          </w:p>
          <w:p w14:paraId="2A7D552E" w14:textId="01474878" w:rsidR="00E66558" w:rsidRDefault="00BC6547">
            <w:pPr>
              <w:pStyle w:val="TableRowCentered"/>
              <w:jc w:val="left"/>
              <w:rPr>
                <w:sz w:val="22"/>
              </w:rPr>
            </w:pPr>
            <w:hyperlink r:id="rId17" w:history="1">
              <w:r w:rsidR="00066274" w:rsidRPr="00D41063">
                <w:rPr>
                  <w:rStyle w:val="Hyperlink"/>
                  <w:sz w:val="22"/>
                </w:rPr>
                <w:t>https://educationendowmentfoundation.org.uk/education-evidence/teaching-learning-toolkit/phonics</w:t>
              </w:r>
            </w:hyperlink>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07F2D8F" w:rsidR="00E66558" w:rsidRDefault="00066274">
            <w:pPr>
              <w:pStyle w:val="TableRowCentered"/>
              <w:jc w:val="left"/>
              <w:rPr>
                <w:sz w:val="22"/>
              </w:rPr>
            </w:pPr>
            <w:r>
              <w:rPr>
                <w:sz w:val="22"/>
              </w:rPr>
              <w:t>1, 4, 5, 9</w:t>
            </w:r>
          </w:p>
        </w:tc>
      </w:tr>
      <w:tr w:rsidR="00066274" w14:paraId="0A340A31" w14:textId="77777777" w:rsidTr="003D1DE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21A39" w14:textId="77777777" w:rsidR="00066274" w:rsidRDefault="00066274">
            <w:pPr>
              <w:pStyle w:val="TableRow"/>
              <w:rPr>
                <w:sz w:val="22"/>
              </w:rPr>
            </w:pPr>
            <w:r>
              <w:rPr>
                <w:sz w:val="22"/>
              </w:rPr>
              <w:t>Language development support via WELLCOMM.</w:t>
            </w:r>
          </w:p>
          <w:p w14:paraId="1295197D" w14:textId="77777777" w:rsidR="00066274" w:rsidRDefault="00066274">
            <w:pPr>
              <w:pStyle w:val="TableRow"/>
              <w:rPr>
                <w:sz w:val="22"/>
              </w:rPr>
            </w:pPr>
          </w:p>
          <w:p w14:paraId="71F8806D" w14:textId="0EE1F4CB" w:rsidR="00066274" w:rsidRDefault="00066274">
            <w:pPr>
              <w:pStyle w:val="TableRow"/>
              <w:rPr>
                <w:sz w:val="22"/>
              </w:rPr>
            </w:pPr>
            <w:r>
              <w:rPr>
                <w:sz w:val="22"/>
              </w:rPr>
              <w:lastRenderedPageBreak/>
              <w:t>Small group and 1:1 support for target pupils including those who are disadvantaged.</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DF3C" w14:textId="77777777" w:rsidR="00066274" w:rsidRDefault="00066274">
            <w:pPr>
              <w:pStyle w:val="TableRowCentered"/>
              <w:jc w:val="left"/>
              <w:rPr>
                <w:sz w:val="22"/>
              </w:rPr>
            </w:pPr>
            <w:r>
              <w:rPr>
                <w:sz w:val="22"/>
              </w:rPr>
              <w:lastRenderedPageBreak/>
              <w:t xml:space="preserve">Oral language interventions can have a positive impact on pupil’ language skills. Approaches that focus on speaking, listening and a combination </w:t>
            </w:r>
            <w:r>
              <w:rPr>
                <w:sz w:val="22"/>
              </w:rPr>
              <w:lastRenderedPageBreak/>
              <w:t>of the two show positive impacts on attainment outcomes.</w:t>
            </w:r>
          </w:p>
          <w:p w14:paraId="6563BB6C" w14:textId="180B5702" w:rsidR="00066274" w:rsidRDefault="00BC6547" w:rsidP="00066274">
            <w:pPr>
              <w:pStyle w:val="TableRowCentered"/>
              <w:jc w:val="left"/>
              <w:rPr>
                <w:sz w:val="22"/>
              </w:rPr>
            </w:pPr>
            <w:hyperlink r:id="rId18" w:history="1">
              <w:r w:rsidR="00066274" w:rsidRPr="00D41063">
                <w:rPr>
                  <w:rStyle w:val="Hyperlink"/>
                  <w:sz w:val="22"/>
                </w:rPr>
                <w:t>https://educationendowmentfoundation.org.uk/education-evidence/teaching-learning-toolkit/oral-language-interventions</w:t>
              </w:r>
            </w:hyperlink>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A18BE" w14:textId="77777777" w:rsidR="00066274" w:rsidRDefault="00066274">
            <w:pPr>
              <w:pStyle w:val="TableRowCentered"/>
              <w:jc w:val="left"/>
              <w:rPr>
                <w:sz w:val="22"/>
              </w:rPr>
            </w:pPr>
          </w:p>
        </w:tc>
      </w:tr>
      <w:tr w:rsidR="00066274" w14:paraId="5842A780" w14:textId="77777777" w:rsidTr="003D1DE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AAA0F" w14:textId="77777777" w:rsidR="00066274" w:rsidRDefault="00066274">
            <w:pPr>
              <w:pStyle w:val="TableRow"/>
              <w:rPr>
                <w:sz w:val="22"/>
              </w:rPr>
            </w:pPr>
            <w:r>
              <w:rPr>
                <w:sz w:val="22"/>
              </w:rPr>
              <w:t>Tutoring groups and interventions for year 5 and 6 pupil</w:t>
            </w:r>
            <w:r w:rsidR="00982F55">
              <w:rPr>
                <w:sz w:val="22"/>
              </w:rPr>
              <w:t>s.</w:t>
            </w:r>
          </w:p>
          <w:p w14:paraId="27330446" w14:textId="77777777" w:rsidR="00982F55" w:rsidRDefault="00982F55">
            <w:pPr>
              <w:pStyle w:val="TableRow"/>
              <w:rPr>
                <w:sz w:val="22"/>
              </w:rPr>
            </w:pPr>
          </w:p>
          <w:p w14:paraId="3238087E" w14:textId="52E53F43" w:rsidR="00982F55" w:rsidRDefault="00982F55">
            <w:pPr>
              <w:pStyle w:val="TableRow"/>
              <w:rPr>
                <w:sz w:val="22"/>
              </w:rPr>
            </w:pPr>
            <w:r>
              <w:rPr>
                <w:sz w:val="22"/>
              </w:rPr>
              <w:t>Tutor support 3 days per week to work with target pupils in year 5 and year 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9915E" w14:textId="77777777" w:rsidR="00066274" w:rsidRDefault="00982F55">
            <w:pPr>
              <w:pStyle w:val="TableRowCentered"/>
              <w:jc w:val="left"/>
              <w:rPr>
                <w:sz w:val="22"/>
              </w:rPr>
            </w:pPr>
            <w:r>
              <w:rPr>
                <w:sz w:val="22"/>
              </w:rPr>
              <w:t>Complementing adaptive teaching and QFT with intensive personalised intervention and booster groups which will support pupils in making accelerated progress.</w:t>
            </w:r>
          </w:p>
          <w:p w14:paraId="4647F69D" w14:textId="77777777" w:rsidR="00982F55" w:rsidRDefault="00982F55">
            <w:pPr>
              <w:pStyle w:val="TableRowCentered"/>
              <w:jc w:val="left"/>
              <w:rPr>
                <w:sz w:val="22"/>
              </w:rPr>
            </w:pPr>
          </w:p>
          <w:p w14:paraId="24DFB067" w14:textId="58CA8F26" w:rsidR="00982F55" w:rsidRDefault="00BC6547">
            <w:pPr>
              <w:pStyle w:val="TableRowCentered"/>
              <w:jc w:val="left"/>
              <w:rPr>
                <w:sz w:val="22"/>
              </w:rPr>
            </w:pPr>
            <w:hyperlink r:id="rId19" w:history="1">
              <w:r w:rsidR="00982F55" w:rsidRPr="005667FE">
                <w:rPr>
                  <w:rStyle w:val="Hyperlink"/>
                  <w:sz w:val="22"/>
                </w:rPr>
                <w:t>https://educationendowmentfoundation.org.uk/education-evidence/teaching-learning-toolkit/one-to-one-tuition</w:t>
              </w:r>
            </w:hyperlink>
          </w:p>
          <w:p w14:paraId="2AAA9FF1" w14:textId="0E63C741" w:rsidR="00982F55" w:rsidRDefault="00982F55">
            <w:pPr>
              <w:pStyle w:val="TableRowCentered"/>
              <w:jc w:val="left"/>
              <w:rPr>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6B60B" w14:textId="1EAC765F" w:rsidR="00066274" w:rsidRDefault="00982F55">
            <w:pPr>
              <w:pStyle w:val="TableRowCentered"/>
              <w:jc w:val="left"/>
              <w:rPr>
                <w:sz w:val="22"/>
              </w:rPr>
            </w:pPr>
            <w:r>
              <w:rPr>
                <w:sz w:val="22"/>
              </w:rPr>
              <w:t>5, 9</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7777777" w:rsidR="00E66558" w:rsidRDefault="009D71E8">
      <w:pPr>
        <w:spacing w:before="240" w:after="120"/>
      </w:pPr>
      <w:r>
        <w:t xml:space="preserve">Budgeted cost: £ </w:t>
      </w:r>
      <w:r>
        <w:rPr>
          <w:i/>
          <w:iCs/>
        </w:rPr>
        <w:t>[insert amount]</w:t>
      </w:r>
    </w:p>
    <w:tbl>
      <w:tblPr>
        <w:tblW w:w="5000" w:type="pct"/>
        <w:tblLayout w:type="fixed"/>
        <w:tblCellMar>
          <w:left w:w="10" w:type="dxa"/>
          <w:right w:w="10" w:type="dxa"/>
        </w:tblCellMar>
        <w:tblLook w:val="04A0" w:firstRow="1" w:lastRow="0" w:firstColumn="1" w:lastColumn="0" w:noHBand="0" w:noVBand="1"/>
      </w:tblPr>
      <w:tblGrid>
        <w:gridCol w:w="3681"/>
        <w:gridCol w:w="4254"/>
        <w:gridCol w:w="1551"/>
      </w:tblGrid>
      <w:tr w:rsidR="00E66558" w14:paraId="2A7D5537" w14:textId="77777777" w:rsidTr="00DF7A6B">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DF7A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9F9" w14:textId="77777777" w:rsidR="006E441B" w:rsidRDefault="006E441B">
            <w:pPr>
              <w:pStyle w:val="TableRow"/>
              <w:rPr>
                <w:iCs/>
                <w:sz w:val="22"/>
                <w:szCs w:val="22"/>
              </w:rPr>
            </w:pPr>
            <w:r>
              <w:rPr>
                <w:iCs/>
                <w:sz w:val="22"/>
                <w:szCs w:val="22"/>
              </w:rPr>
              <w:t>Promoting improved attendance to be good or better through effective strategies and partnerships.</w:t>
            </w:r>
          </w:p>
          <w:p w14:paraId="4024B56A" w14:textId="77777777" w:rsidR="006E441B" w:rsidRDefault="006E441B">
            <w:pPr>
              <w:pStyle w:val="TableRow"/>
              <w:rPr>
                <w:iCs/>
                <w:sz w:val="22"/>
                <w:szCs w:val="22"/>
              </w:rPr>
            </w:pPr>
          </w:p>
          <w:p w14:paraId="2A7D5538" w14:textId="71F33C75" w:rsidR="00E66558" w:rsidRDefault="006E441B">
            <w:pPr>
              <w:pStyle w:val="TableRow"/>
            </w:pPr>
            <w:r>
              <w:rPr>
                <w:iCs/>
                <w:sz w:val="22"/>
                <w:szCs w:val="22"/>
              </w:rPr>
              <w:t>Following the Trafford model Attendance Policy, our attendance officer, office manager, class teachers and teaching assistants will implement strategies to improve and sustain high attendance. This includes funded places for disadvantaged pupils at 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582ABE30" w:rsidR="00E66558" w:rsidRDefault="006E441B">
            <w:pPr>
              <w:pStyle w:val="TableRowCentered"/>
              <w:jc w:val="left"/>
              <w:rPr>
                <w:sz w:val="22"/>
              </w:rPr>
            </w:pPr>
            <w:r>
              <w:rPr>
                <w:sz w:val="22"/>
              </w:rPr>
              <w:t>The follows Trafford research and DfE guidance has been informed by engagement with schools that have significantly reduced levels of absence and persistent absence.</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05E1B1A" w:rsidR="00E66558" w:rsidRDefault="006E441B">
            <w:pPr>
              <w:pStyle w:val="TableRowCentered"/>
              <w:jc w:val="left"/>
              <w:rPr>
                <w:sz w:val="22"/>
              </w:rPr>
            </w:pPr>
            <w:r>
              <w:rPr>
                <w:sz w:val="22"/>
              </w:rPr>
              <w:t>6</w:t>
            </w:r>
          </w:p>
        </w:tc>
      </w:tr>
      <w:tr w:rsidR="00E66558" w14:paraId="2A7D553F" w14:textId="77777777" w:rsidTr="00DF7A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E28A" w14:textId="77777777" w:rsidR="006E441B" w:rsidRDefault="006E441B">
            <w:pPr>
              <w:pStyle w:val="TableRow"/>
              <w:rPr>
                <w:sz w:val="22"/>
              </w:rPr>
            </w:pPr>
            <w:r>
              <w:rPr>
                <w:sz w:val="22"/>
              </w:rPr>
              <w:t>Meet the well-being needs of disadvantaged pupils through access to Early Help and support from Trafford Teams Together.</w:t>
            </w:r>
          </w:p>
          <w:p w14:paraId="64EDC224" w14:textId="77777777" w:rsidR="006E441B" w:rsidRDefault="006E441B">
            <w:pPr>
              <w:pStyle w:val="TableRow"/>
              <w:rPr>
                <w:sz w:val="22"/>
              </w:rPr>
            </w:pPr>
          </w:p>
          <w:p w14:paraId="2A7D553C" w14:textId="242742FB" w:rsidR="00E66558" w:rsidRPr="006E441B" w:rsidRDefault="006E441B">
            <w:pPr>
              <w:pStyle w:val="TableRow"/>
              <w:rPr>
                <w:sz w:val="22"/>
              </w:rPr>
            </w:pPr>
            <w:r>
              <w:rPr>
                <w:sz w:val="22"/>
              </w:rPr>
              <w:t xml:space="preserve">We will fund release time for our TTT Lead to work with parents to access support outside of the core offer provided by the school.  Our SENCo (who is also the TTT Lead practitioner) will also have additional release time to run a </w:t>
            </w:r>
            <w:r>
              <w:rPr>
                <w:sz w:val="22"/>
              </w:rPr>
              <w:lastRenderedPageBreak/>
              <w:t>weekly drop-in session to engage parents and provide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195C197F" w:rsidR="00E66558" w:rsidRDefault="00EE59D4">
            <w:pPr>
              <w:pStyle w:val="TableRowCentered"/>
              <w:jc w:val="left"/>
              <w:rPr>
                <w:sz w:val="22"/>
              </w:rPr>
            </w:pPr>
            <w:r>
              <w:rPr>
                <w:sz w:val="22"/>
              </w:rPr>
              <w:lastRenderedPageBreak/>
              <w:t>Our experience shows that a core group of disadvantaged pupils need access to support beyond our core offer.  Extensive parental engagement is key in improving pupil outcomes, both academic and emotional.</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20043EB" w:rsidR="00E66558" w:rsidRDefault="00EE59D4">
            <w:pPr>
              <w:pStyle w:val="TableRowCentered"/>
              <w:jc w:val="left"/>
              <w:rPr>
                <w:sz w:val="22"/>
              </w:rPr>
            </w:pPr>
            <w:r>
              <w:rPr>
                <w:sz w:val="22"/>
              </w:rPr>
              <w:t>7, 8</w:t>
            </w:r>
          </w:p>
        </w:tc>
      </w:tr>
      <w:tr w:rsidR="00EE59D4" w14:paraId="7720977E" w14:textId="77777777" w:rsidTr="00DF7A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00DF3" w14:textId="77777777" w:rsidR="00EE59D4" w:rsidRDefault="00EE59D4">
            <w:pPr>
              <w:pStyle w:val="TableRow"/>
              <w:rPr>
                <w:sz w:val="22"/>
              </w:rPr>
            </w:pPr>
            <w:r>
              <w:rPr>
                <w:sz w:val="22"/>
              </w:rPr>
              <w:t>Implement a relational approach to behaviour management in line with the Virtual School Belong Programme.</w:t>
            </w:r>
          </w:p>
          <w:p w14:paraId="0A5B33C0" w14:textId="77777777" w:rsidR="00EE59D4" w:rsidRDefault="00EE59D4">
            <w:pPr>
              <w:pStyle w:val="TableRow"/>
              <w:rPr>
                <w:sz w:val="22"/>
              </w:rPr>
            </w:pPr>
          </w:p>
          <w:p w14:paraId="675D9493" w14:textId="7D64BC19" w:rsidR="00EE59D4" w:rsidRDefault="00EE59D4">
            <w:pPr>
              <w:pStyle w:val="TableRow"/>
              <w:rPr>
                <w:sz w:val="22"/>
              </w:rPr>
            </w:pPr>
            <w:r>
              <w:rPr>
                <w:sz w:val="22"/>
              </w:rPr>
              <w:t>We will fund release time for 2 members of SLT to attend the Belong Programme being run in Trafford. We will run whole school CPD to ensure that all staff understand and implement a relational approach to all aspects of school life in order to ensure that the social, emotional and mental health of pupils is supported and maintained.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CDFB5" w14:textId="77777777" w:rsidR="00EE59D4" w:rsidRDefault="00EE59D4">
            <w:pPr>
              <w:pStyle w:val="TableRowCentered"/>
              <w:jc w:val="left"/>
              <w:rPr>
                <w:sz w:val="22"/>
              </w:rPr>
            </w:pPr>
            <w:r>
              <w:rPr>
                <w:sz w:val="22"/>
              </w:rPr>
              <w:t>When carefully implemented, social and emotional learning can increase positive pupil behaviour and well-being which in turn can raise pupil outcomes.</w:t>
            </w:r>
          </w:p>
          <w:p w14:paraId="37D612CB" w14:textId="77777777" w:rsidR="00EE59D4" w:rsidRDefault="00EE59D4">
            <w:pPr>
              <w:pStyle w:val="TableRowCentered"/>
              <w:jc w:val="left"/>
              <w:rPr>
                <w:sz w:val="22"/>
              </w:rPr>
            </w:pPr>
          </w:p>
          <w:p w14:paraId="4E7DDAA8" w14:textId="7B49ECED" w:rsidR="00EE59D4" w:rsidRDefault="00BC6547">
            <w:pPr>
              <w:pStyle w:val="TableRowCentered"/>
              <w:jc w:val="left"/>
              <w:rPr>
                <w:sz w:val="22"/>
              </w:rPr>
            </w:pPr>
            <w:hyperlink r:id="rId20" w:history="1">
              <w:r w:rsidR="00EE59D4" w:rsidRPr="005F1F72">
                <w:rPr>
                  <w:rStyle w:val="Hyperlink"/>
                  <w:sz w:val="22"/>
                </w:rPr>
                <w:t>https://educationendowmentfoundation.org.uk/education-evidence/guidance-reports/primary-sel</w:t>
              </w:r>
            </w:hyperlink>
          </w:p>
          <w:p w14:paraId="0C19B0EF" w14:textId="14CE6ED0" w:rsidR="00EE59D4" w:rsidRDefault="00EE59D4">
            <w:pPr>
              <w:pStyle w:val="TableRowCentered"/>
              <w:jc w:val="left"/>
              <w:rPr>
                <w:sz w:val="22"/>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7905" w14:textId="1A81E9C2" w:rsidR="00EE59D4" w:rsidRDefault="00EE59D4">
            <w:pPr>
              <w:pStyle w:val="TableRowCentered"/>
              <w:jc w:val="left"/>
              <w:rPr>
                <w:sz w:val="22"/>
              </w:rPr>
            </w:pPr>
            <w:r>
              <w:rPr>
                <w:sz w:val="22"/>
              </w:rPr>
              <w:t>7, 8</w:t>
            </w:r>
          </w:p>
        </w:tc>
      </w:tr>
      <w:tr w:rsidR="00EE59D4" w14:paraId="5C661E18" w14:textId="77777777" w:rsidTr="00DF7A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7B5D" w14:textId="77777777" w:rsidR="00EE59D4" w:rsidRDefault="00EE59D4">
            <w:pPr>
              <w:pStyle w:val="TableRow"/>
              <w:rPr>
                <w:sz w:val="22"/>
              </w:rPr>
            </w:pPr>
            <w:r>
              <w:rPr>
                <w:sz w:val="22"/>
              </w:rPr>
              <w:t>Broader access to extra-curricular activities for all pupils including those who are disadvantaged.</w:t>
            </w:r>
          </w:p>
          <w:p w14:paraId="59946FE2" w14:textId="77777777" w:rsidR="00EE59D4" w:rsidRDefault="00EE59D4">
            <w:pPr>
              <w:pStyle w:val="TableRow"/>
              <w:rPr>
                <w:sz w:val="22"/>
              </w:rPr>
            </w:pPr>
          </w:p>
          <w:p w14:paraId="0A47F4CA" w14:textId="50C285DE" w:rsidR="00EE59D4" w:rsidRDefault="00EE59D4">
            <w:pPr>
              <w:pStyle w:val="TableRow"/>
              <w:rPr>
                <w:sz w:val="22"/>
              </w:rPr>
            </w:pPr>
            <w:r>
              <w:rPr>
                <w:sz w:val="22"/>
              </w:rPr>
              <w:t>Disadvantaged children will be supported with access to extra-curricular activities to improve their well-being and to raise engagement in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6A362" w14:textId="667FE268" w:rsidR="00EE59D4" w:rsidRDefault="00EE59D4">
            <w:pPr>
              <w:pStyle w:val="TableRowCentered"/>
              <w:jc w:val="left"/>
              <w:rPr>
                <w:sz w:val="22"/>
              </w:rPr>
            </w:pPr>
            <w:r>
              <w:rPr>
                <w:sz w:val="22"/>
              </w:rPr>
              <w:t>Based on our experience, some disadvantaged children can disengage with the broader school offer, especially during school holidays.  We know that finding this access to extra-curricular clubs (including our holiday club) positively impacts on attendance, well-being, school “readiness” and educational performance.</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68A58" w14:textId="6503B6E3" w:rsidR="00EE59D4" w:rsidRDefault="00EE59D4">
            <w:pPr>
              <w:pStyle w:val="TableRowCentered"/>
              <w:jc w:val="left"/>
              <w:rPr>
                <w:sz w:val="22"/>
              </w:rPr>
            </w:pPr>
            <w:r>
              <w:rPr>
                <w:sz w:val="22"/>
              </w:rPr>
              <w:t>7, 8, 9</w:t>
            </w: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Layout w:type="fixed"/>
        <w:tblCellMar>
          <w:left w:w="10" w:type="dxa"/>
          <w:right w:w="10" w:type="dxa"/>
        </w:tblCellMar>
        <w:tblLook w:val="04A0" w:firstRow="1" w:lastRow="0" w:firstColumn="1" w:lastColumn="0" w:noHBand="0" w:noVBand="1"/>
      </w:tblPr>
      <w:tblGrid>
        <w:gridCol w:w="9493"/>
      </w:tblGrid>
      <w:tr w:rsidR="00173D4C" w14:paraId="7FB51099" w14:textId="77777777" w:rsidTr="00FB018F">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DC71F1" w14:textId="65F8EDE0" w:rsidR="0064167B" w:rsidRDefault="006D768C" w:rsidP="00242093">
            <w:pPr>
              <w:spacing w:before="60"/>
              <w:rPr>
                <w:iCs/>
                <w:lang w:eastAsia="en-US"/>
              </w:rPr>
            </w:pPr>
            <w:r>
              <w:rPr>
                <w:iCs/>
                <w:lang w:eastAsia="en-US"/>
              </w:rPr>
              <w:t>We set aspirational targets for all pupils including those who are disadvantaged. 2022 was the first year since the pandemic with statutory assessments in all phases.</w:t>
            </w:r>
          </w:p>
          <w:p w14:paraId="73A33981" w14:textId="20437377" w:rsidR="003F53EC" w:rsidRDefault="003F53EC" w:rsidP="00242093">
            <w:pPr>
              <w:spacing w:before="60"/>
              <w:rPr>
                <w:iCs/>
                <w:lang w:eastAsia="en-US"/>
              </w:rPr>
            </w:pPr>
            <w:r>
              <w:rPr>
                <w:iCs/>
                <w:lang w:eastAsia="en-US"/>
              </w:rPr>
              <w:t>The outcomes for the previous year have supported the school leadership team in the development of taliried support and same day intervention to promote accelerated progress and attainment.  A focus has also been placed on the development of resilience and a growth mindset in school particularly for our children who are disadvantaged or have an identified barrier to learning.</w:t>
            </w:r>
          </w:p>
          <w:tbl>
            <w:tblPr>
              <w:tblStyle w:val="TableGrid"/>
              <w:tblW w:w="0" w:type="auto"/>
              <w:tblLayout w:type="fixed"/>
              <w:tblLook w:val="04A0" w:firstRow="1" w:lastRow="0" w:firstColumn="1" w:lastColumn="0" w:noHBand="0" w:noVBand="1"/>
            </w:tblPr>
            <w:tblGrid>
              <w:gridCol w:w="1146"/>
              <w:gridCol w:w="8"/>
              <w:gridCol w:w="1139"/>
              <w:gridCol w:w="1146"/>
              <w:gridCol w:w="1147"/>
              <w:gridCol w:w="857"/>
              <w:gridCol w:w="1551"/>
              <w:gridCol w:w="1551"/>
            </w:tblGrid>
            <w:tr w:rsidR="006D768C" w14:paraId="37E6AFD3" w14:textId="77777777" w:rsidTr="00FB018F">
              <w:trPr>
                <w:trHeight w:val="501"/>
              </w:trPr>
              <w:tc>
                <w:tcPr>
                  <w:tcW w:w="1154" w:type="dxa"/>
                  <w:gridSpan w:val="2"/>
                  <w:shd w:val="clear" w:color="auto" w:fill="B6DDE8" w:themeFill="accent5" w:themeFillTint="66"/>
                </w:tcPr>
                <w:p w14:paraId="6DEAF95D" w14:textId="3AE785E5" w:rsidR="006D768C" w:rsidRPr="00C73BE6" w:rsidRDefault="006D768C" w:rsidP="006D768C">
                  <w:pPr>
                    <w:spacing w:before="60"/>
                    <w:jc w:val="center"/>
                    <w:rPr>
                      <w:iCs/>
                      <w:sz w:val="20"/>
                      <w:szCs w:val="20"/>
                      <w:lang w:eastAsia="en-US"/>
                    </w:rPr>
                  </w:pPr>
                  <w:r w:rsidRPr="00C73BE6">
                    <w:rPr>
                      <w:iCs/>
                      <w:sz w:val="20"/>
                      <w:szCs w:val="20"/>
                      <w:lang w:eastAsia="en-US"/>
                    </w:rPr>
                    <w:t>Outcomes</w:t>
                  </w:r>
                </w:p>
              </w:tc>
              <w:tc>
                <w:tcPr>
                  <w:tcW w:w="3432" w:type="dxa"/>
                  <w:gridSpan w:val="3"/>
                  <w:shd w:val="clear" w:color="auto" w:fill="B6DDE8" w:themeFill="accent5" w:themeFillTint="66"/>
                </w:tcPr>
                <w:p w14:paraId="46341D16" w14:textId="291D4B57" w:rsidR="006D768C" w:rsidRPr="00C73BE6" w:rsidRDefault="006D768C" w:rsidP="006D768C">
                  <w:pPr>
                    <w:spacing w:before="60"/>
                    <w:jc w:val="center"/>
                    <w:rPr>
                      <w:iCs/>
                      <w:sz w:val="20"/>
                      <w:szCs w:val="20"/>
                      <w:lang w:eastAsia="en-US"/>
                    </w:rPr>
                  </w:pPr>
                  <w:r w:rsidRPr="00C73BE6">
                    <w:rPr>
                      <w:iCs/>
                      <w:sz w:val="20"/>
                      <w:szCs w:val="20"/>
                      <w:lang w:eastAsia="en-US"/>
                    </w:rPr>
                    <w:t>Progress KS1 – KS2</w:t>
                  </w:r>
                </w:p>
              </w:tc>
              <w:tc>
                <w:tcPr>
                  <w:tcW w:w="3959" w:type="dxa"/>
                  <w:gridSpan w:val="3"/>
                  <w:shd w:val="clear" w:color="auto" w:fill="B6DDE8" w:themeFill="accent5" w:themeFillTint="66"/>
                </w:tcPr>
                <w:p w14:paraId="3F3D90BE" w14:textId="346CD88C" w:rsidR="006D768C" w:rsidRPr="00C73BE6" w:rsidRDefault="006D768C" w:rsidP="006D768C">
                  <w:pPr>
                    <w:spacing w:before="60"/>
                    <w:jc w:val="center"/>
                    <w:rPr>
                      <w:iCs/>
                      <w:sz w:val="20"/>
                      <w:szCs w:val="20"/>
                      <w:lang w:eastAsia="en-US"/>
                    </w:rPr>
                  </w:pPr>
                  <w:r w:rsidRPr="00C73BE6">
                    <w:rPr>
                      <w:iCs/>
                      <w:sz w:val="20"/>
                      <w:szCs w:val="20"/>
                      <w:lang w:eastAsia="en-US"/>
                    </w:rPr>
                    <w:t>KS2 Attainment % (EXS/GDS)</w:t>
                  </w:r>
                </w:p>
              </w:tc>
            </w:tr>
            <w:tr w:rsidR="00C73BE6" w14:paraId="081DF484" w14:textId="77777777" w:rsidTr="00FB018F">
              <w:trPr>
                <w:trHeight w:val="897"/>
              </w:trPr>
              <w:tc>
                <w:tcPr>
                  <w:tcW w:w="1146" w:type="dxa"/>
                  <w:shd w:val="clear" w:color="auto" w:fill="B6DDE8" w:themeFill="accent5" w:themeFillTint="66"/>
                </w:tcPr>
                <w:p w14:paraId="27F41396" w14:textId="77777777" w:rsidR="006D768C" w:rsidRPr="00C73BE6" w:rsidRDefault="006D768C" w:rsidP="006D768C">
                  <w:pPr>
                    <w:spacing w:before="60"/>
                    <w:jc w:val="center"/>
                    <w:rPr>
                      <w:iCs/>
                      <w:sz w:val="20"/>
                      <w:szCs w:val="20"/>
                      <w:lang w:eastAsia="en-US"/>
                    </w:rPr>
                  </w:pPr>
                </w:p>
              </w:tc>
              <w:tc>
                <w:tcPr>
                  <w:tcW w:w="1147" w:type="dxa"/>
                  <w:gridSpan w:val="2"/>
                </w:tcPr>
                <w:p w14:paraId="59A0247A" w14:textId="46CAF60C" w:rsidR="006D768C" w:rsidRPr="00C73BE6" w:rsidRDefault="006D768C" w:rsidP="006D768C">
                  <w:pPr>
                    <w:spacing w:before="60"/>
                    <w:jc w:val="center"/>
                    <w:rPr>
                      <w:iCs/>
                      <w:sz w:val="20"/>
                      <w:szCs w:val="20"/>
                      <w:lang w:eastAsia="en-US"/>
                    </w:rPr>
                  </w:pPr>
                  <w:r w:rsidRPr="00C73BE6">
                    <w:rPr>
                      <w:iCs/>
                      <w:sz w:val="20"/>
                      <w:szCs w:val="20"/>
                      <w:lang w:eastAsia="en-US"/>
                    </w:rPr>
                    <w:t>All Pupils</w:t>
                  </w:r>
                </w:p>
              </w:tc>
              <w:tc>
                <w:tcPr>
                  <w:tcW w:w="1146" w:type="dxa"/>
                </w:tcPr>
                <w:p w14:paraId="6FA444FE" w14:textId="44E3E651" w:rsidR="006D768C" w:rsidRPr="00C73BE6" w:rsidRDefault="006D768C" w:rsidP="006D768C">
                  <w:pPr>
                    <w:spacing w:before="60"/>
                    <w:jc w:val="center"/>
                    <w:rPr>
                      <w:iCs/>
                      <w:sz w:val="20"/>
                      <w:szCs w:val="20"/>
                      <w:lang w:eastAsia="en-US"/>
                    </w:rPr>
                  </w:pPr>
                  <w:r w:rsidRPr="00C73BE6">
                    <w:rPr>
                      <w:iCs/>
                      <w:sz w:val="20"/>
                      <w:szCs w:val="20"/>
                      <w:lang w:eastAsia="en-US"/>
                    </w:rPr>
                    <w:t>Disadvantaged pupils</w:t>
                  </w:r>
                </w:p>
              </w:tc>
              <w:tc>
                <w:tcPr>
                  <w:tcW w:w="1147" w:type="dxa"/>
                </w:tcPr>
                <w:p w14:paraId="0BF7BAF7" w14:textId="5D445232" w:rsidR="006D768C" w:rsidRPr="00C73BE6" w:rsidRDefault="006D768C" w:rsidP="006D768C">
                  <w:pPr>
                    <w:spacing w:before="60"/>
                    <w:jc w:val="center"/>
                    <w:rPr>
                      <w:iCs/>
                      <w:sz w:val="20"/>
                      <w:szCs w:val="20"/>
                      <w:lang w:eastAsia="en-US"/>
                    </w:rPr>
                  </w:pPr>
                  <w:r w:rsidRPr="00C73BE6">
                    <w:rPr>
                      <w:iCs/>
                      <w:sz w:val="20"/>
                      <w:szCs w:val="20"/>
                      <w:lang w:eastAsia="en-US"/>
                    </w:rPr>
                    <w:t>National All Pupils</w:t>
                  </w:r>
                </w:p>
              </w:tc>
              <w:tc>
                <w:tcPr>
                  <w:tcW w:w="857" w:type="dxa"/>
                </w:tcPr>
                <w:p w14:paraId="39CC3E6B" w14:textId="33D94AF2" w:rsidR="006D768C" w:rsidRPr="00C73BE6" w:rsidRDefault="006D768C" w:rsidP="006D768C">
                  <w:pPr>
                    <w:spacing w:before="60"/>
                    <w:jc w:val="center"/>
                    <w:rPr>
                      <w:iCs/>
                      <w:sz w:val="20"/>
                      <w:szCs w:val="20"/>
                      <w:lang w:eastAsia="en-US"/>
                    </w:rPr>
                  </w:pPr>
                  <w:r w:rsidRPr="00C73BE6">
                    <w:rPr>
                      <w:iCs/>
                      <w:sz w:val="20"/>
                      <w:szCs w:val="20"/>
                      <w:lang w:eastAsia="en-US"/>
                    </w:rPr>
                    <w:t>All pupils</w:t>
                  </w:r>
                </w:p>
              </w:tc>
              <w:tc>
                <w:tcPr>
                  <w:tcW w:w="1551" w:type="dxa"/>
                </w:tcPr>
                <w:p w14:paraId="6B835A8C" w14:textId="0E168860" w:rsidR="006D768C" w:rsidRPr="00C73BE6" w:rsidRDefault="006D768C" w:rsidP="006D768C">
                  <w:pPr>
                    <w:spacing w:before="60"/>
                    <w:jc w:val="center"/>
                    <w:rPr>
                      <w:iCs/>
                      <w:sz w:val="20"/>
                      <w:szCs w:val="20"/>
                      <w:lang w:eastAsia="en-US"/>
                    </w:rPr>
                  </w:pPr>
                  <w:r w:rsidRPr="00C73BE6">
                    <w:rPr>
                      <w:iCs/>
                      <w:sz w:val="20"/>
                      <w:szCs w:val="20"/>
                      <w:lang w:eastAsia="en-US"/>
                    </w:rPr>
                    <w:t>Disadvantaged pupils</w:t>
                  </w:r>
                </w:p>
              </w:tc>
              <w:tc>
                <w:tcPr>
                  <w:tcW w:w="1551" w:type="dxa"/>
                </w:tcPr>
                <w:p w14:paraId="2935983C" w14:textId="32858FF0" w:rsidR="006D768C" w:rsidRPr="00C73BE6" w:rsidRDefault="006D768C" w:rsidP="006D768C">
                  <w:pPr>
                    <w:spacing w:before="60"/>
                    <w:jc w:val="center"/>
                    <w:rPr>
                      <w:iCs/>
                      <w:sz w:val="20"/>
                      <w:szCs w:val="20"/>
                      <w:lang w:eastAsia="en-US"/>
                    </w:rPr>
                  </w:pPr>
                  <w:r w:rsidRPr="00C73BE6">
                    <w:rPr>
                      <w:iCs/>
                      <w:sz w:val="20"/>
                      <w:szCs w:val="20"/>
                      <w:lang w:eastAsia="en-US"/>
                    </w:rPr>
                    <w:t>National Disadvantaged pupils</w:t>
                  </w:r>
                </w:p>
              </w:tc>
            </w:tr>
            <w:tr w:rsidR="00C73BE6" w14:paraId="077A1325" w14:textId="77777777" w:rsidTr="00FB018F">
              <w:trPr>
                <w:trHeight w:val="456"/>
              </w:trPr>
              <w:tc>
                <w:tcPr>
                  <w:tcW w:w="1146" w:type="dxa"/>
                  <w:shd w:val="clear" w:color="auto" w:fill="B6DDE8" w:themeFill="accent5" w:themeFillTint="66"/>
                </w:tcPr>
                <w:p w14:paraId="4A49F5FA" w14:textId="1C8FBF4D" w:rsidR="006D768C" w:rsidRPr="00C73BE6" w:rsidRDefault="006D768C" w:rsidP="006D768C">
                  <w:pPr>
                    <w:spacing w:before="60"/>
                    <w:jc w:val="center"/>
                    <w:rPr>
                      <w:iCs/>
                      <w:sz w:val="20"/>
                      <w:szCs w:val="20"/>
                      <w:lang w:eastAsia="en-US"/>
                    </w:rPr>
                  </w:pPr>
                  <w:r w:rsidRPr="00C73BE6">
                    <w:rPr>
                      <w:iCs/>
                      <w:sz w:val="20"/>
                      <w:szCs w:val="20"/>
                      <w:lang w:eastAsia="en-US"/>
                    </w:rPr>
                    <w:t>Reading</w:t>
                  </w:r>
                </w:p>
              </w:tc>
              <w:tc>
                <w:tcPr>
                  <w:tcW w:w="1147" w:type="dxa"/>
                  <w:gridSpan w:val="2"/>
                </w:tcPr>
                <w:p w14:paraId="126E5256" w14:textId="62E3FB84" w:rsidR="006D768C" w:rsidRPr="00C73BE6" w:rsidRDefault="00C73BE6" w:rsidP="006D768C">
                  <w:pPr>
                    <w:spacing w:before="60"/>
                    <w:jc w:val="center"/>
                    <w:rPr>
                      <w:iCs/>
                      <w:sz w:val="20"/>
                      <w:szCs w:val="20"/>
                      <w:lang w:eastAsia="en-US"/>
                    </w:rPr>
                  </w:pPr>
                  <w:r w:rsidRPr="00C73BE6">
                    <w:rPr>
                      <w:iCs/>
                      <w:sz w:val="20"/>
                      <w:szCs w:val="20"/>
                      <w:lang w:eastAsia="en-US"/>
                    </w:rPr>
                    <w:t>-1.00</w:t>
                  </w:r>
                </w:p>
              </w:tc>
              <w:tc>
                <w:tcPr>
                  <w:tcW w:w="1146" w:type="dxa"/>
                </w:tcPr>
                <w:p w14:paraId="2D5970E7" w14:textId="78E20C1B" w:rsidR="006D768C" w:rsidRPr="00C73BE6" w:rsidRDefault="00C73BE6" w:rsidP="006D768C">
                  <w:pPr>
                    <w:spacing w:before="60"/>
                    <w:jc w:val="center"/>
                    <w:rPr>
                      <w:iCs/>
                      <w:sz w:val="20"/>
                      <w:szCs w:val="20"/>
                      <w:lang w:eastAsia="en-US"/>
                    </w:rPr>
                  </w:pPr>
                  <w:r w:rsidRPr="00C73BE6">
                    <w:rPr>
                      <w:iCs/>
                      <w:sz w:val="20"/>
                      <w:szCs w:val="20"/>
                      <w:lang w:eastAsia="en-US"/>
                    </w:rPr>
                    <w:t>-1.43</w:t>
                  </w:r>
                </w:p>
              </w:tc>
              <w:tc>
                <w:tcPr>
                  <w:tcW w:w="1147" w:type="dxa"/>
                </w:tcPr>
                <w:p w14:paraId="5B4D2894" w14:textId="451F4F17" w:rsidR="006D768C" w:rsidRPr="00C73BE6" w:rsidRDefault="00C73BE6" w:rsidP="006D768C">
                  <w:pPr>
                    <w:spacing w:before="60"/>
                    <w:jc w:val="center"/>
                    <w:rPr>
                      <w:iCs/>
                      <w:sz w:val="20"/>
                      <w:szCs w:val="20"/>
                      <w:lang w:eastAsia="en-US"/>
                    </w:rPr>
                  </w:pPr>
                  <w:r w:rsidRPr="00C73BE6">
                    <w:rPr>
                      <w:iCs/>
                      <w:sz w:val="20"/>
                      <w:szCs w:val="20"/>
                      <w:lang w:eastAsia="en-US"/>
                    </w:rPr>
                    <w:t>-0.19</w:t>
                  </w:r>
                </w:p>
              </w:tc>
              <w:tc>
                <w:tcPr>
                  <w:tcW w:w="857" w:type="dxa"/>
                </w:tcPr>
                <w:p w14:paraId="3A1AADBA" w14:textId="39386C01" w:rsidR="006D768C" w:rsidRPr="00C73BE6" w:rsidRDefault="006D768C" w:rsidP="006D768C">
                  <w:pPr>
                    <w:spacing w:before="60"/>
                    <w:jc w:val="center"/>
                    <w:rPr>
                      <w:iCs/>
                      <w:sz w:val="20"/>
                      <w:szCs w:val="20"/>
                      <w:lang w:eastAsia="en-US"/>
                    </w:rPr>
                  </w:pPr>
                  <w:r w:rsidRPr="00C73BE6">
                    <w:rPr>
                      <w:iCs/>
                      <w:sz w:val="20"/>
                      <w:szCs w:val="20"/>
                      <w:lang w:eastAsia="en-US"/>
                    </w:rPr>
                    <w:t>77/26</w:t>
                  </w:r>
                </w:p>
              </w:tc>
              <w:tc>
                <w:tcPr>
                  <w:tcW w:w="1551" w:type="dxa"/>
                </w:tcPr>
                <w:p w14:paraId="2C878AFE" w14:textId="10911812" w:rsidR="006D768C" w:rsidRPr="00C73BE6" w:rsidRDefault="00C64997" w:rsidP="006D768C">
                  <w:pPr>
                    <w:spacing w:before="60"/>
                    <w:jc w:val="center"/>
                    <w:rPr>
                      <w:iCs/>
                      <w:sz w:val="20"/>
                      <w:szCs w:val="20"/>
                      <w:lang w:eastAsia="en-US"/>
                    </w:rPr>
                  </w:pPr>
                  <w:r w:rsidRPr="00C73BE6">
                    <w:rPr>
                      <w:iCs/>
                      <w:sz w:val="20"/>
                      <w:szCs w:val="20"/>
                      <w:lang w:eastAsia="en-US"/>
                    </w:rPr>
                    <w:t>60/0</w:t>
                  </w:r>
                </w:p>
              </w:tc>
              <w:tc>
                <w:tcPr>
                  <w:tcW w:w="1551" w:type="dxa"/>
                </w:tcPr>
                <w:p w14:paraId="66EC049E" w14:textId="27C5981B" w:rsidR="006D768C" w:rsidRPr="00C73BE6" w:rsidRDefault="006D768C" w:rsidP="006D768C">
                  <w:pPr>
                    <w:spacing w:before="60"/>
                    <w:jc w:val="center"/>
                    <w:rPr>
                      <w:iCs/>
                      <w:sz w:val="20"/>
                      <w:szCs w:val="20"/>
                      <w:lang w:eastAsia="en-US"/>
                    </w:rPr>
                  </w:pPr>
                  <w:r w:rsidRPr="00C73BE6">
                    <w:rPr>
                      <w:iCs/>
                      <w:sz w:val="20"/>
                      <w:szCs w:val="20"/>
                      <w:lang w:eastAsia="en-US"/>
                    </w:rPr>
                    <w:t>62/17</w:t>
                  </w:r>
                </w:p>
              </w:tc>
            </w:tr>
            <w:tr w:rsidR="00C73BE6" w14:paraId="1813B5F9" w14:textId="77777777" w:rsidTr="00FB018F">
              <w:trPr>
                <w:trHeight w:val="460"/>
              </w:trPr>
              <w:tc>
                <w:tcPr>
                  <w:tcW w:w="1146" w:type="dxa"/>
                  <w:shd w:val="clear" w:color="auto" w:fill="B6DDE8" w:themeFill="accent5" w:themeFillTint="66"/>
                </w:tcPr>
                <w:p w14:paraId="003A20B5" w14:textId="7931D745" w:rsidR="006D768C" w:rsidRPr="00C73BE6" w:rsidRDefault="006D768C" w:rsidP="006D768C">
                  <w:pPr>
                    <w:spacing w:before="60"/>
                    <w:jc w:val="center"/>
                    <w:rPr>
                      <w:iCs/>
                      <w:sz w:val="20"/>
                      <w:szCs w:val="20"/>
                      <w:lang w:eastAsia="en-US"/>
                    </w:rPr>
                  </w:pPr>
                  <w:r w:rsidRPr="00C73BE6">
                    <w:rPr>
                      <w:iCs/>
                      <w:sz w:val="20"/>
                      <w:szCs w:val="20"/>
                      <w:lang w:eastAsia="en-US"/>
                    </w:rPr>
                    <w:t>Writing</w:t>
                  </w:r>
                </w:p>
              </w:tc>
              <w:tc>
                <w:tcPr>
                  <w:tcW w:w="1147" w:type="dxa"/>
                  <w:gridSpan w:val="2"/>
                </w:tcPr>
                <w:p w14:paraId="51056E6F" w14:textId="757DDE4A" w:rsidR="006D768C" w:rsidRPr="00C73BE6" w:rsidRDefault="00C73BE6" w:rsidP="006D768C">
                  <w:pPr>
                    <w:spacing w:before="60"/>
                    <w:jc w:val="center"/>
                    <w:rPr>
                      <w:iCs/>
                      <w:sz w:val="20"/>
                      <w:szCs w:val="20"/>
                      <w:lang w:eastAsia="en-US"/>
                    </w:rPr>
                  </w:pPr>
                  <w:r w:rsidRPr="00C73BE6">
                    <w:rPr>
                      <w:iCs/>
                      <w:sz w:val="20"/>
                      <w:szCs w:val="20"/>
                      <w:lang w:eastAsia="en-US"/>
                    </w:rPr>
                    <w:t>-0.88</w:t>
                  </w:r>
                </w:p>
              </w:tc>
              <w:tc>
                <w:tcPr>
                  <w:tcW w:w="1146" w:type="dxa"/>
                </w:tcPr>
                <w:p w14:paraId="586A7862" w14:textId="0C1C1CFB" w:rsidR="006D768C" w:rsidRPr="00C73BE6" w:rsidRDefault="00C73BE6" w:rsidP="006D768C">
                  <w:pPr>
                    <w:spacing w:before="60"/>
                    <w:jc w:val="center"/>
                    <w:rPr>
                      <w:iCs/>
                      <w:sz w:val="20"/>
                      <w:szCs w:val="20"/>
                      <w:lang w:eastAsia="en-US"/>
                    </w:rPr>
                  </w:pPr>
                  <w:r w:rsidRPr="00C73BE6">
                    <w:rPr>
                      <w:iCs/>
                      <w:sz w:val="20"/>
                      <w:szCs w:val="20"/>
                      <w:lang w:eastAsia="en-US"/>
                    </w:rPr>
                    <w:t>-0.05</w:t>
                  </w:r>
                </w:p>
              </w:tc>
              <w:tc>
                <w:tcPr>
                  <w:tcW w:w="1147" w:type="dxa"/>
                </w:tcPr>
                <w:p w14:paraId="07992A96" w14:textId="77852081" w:rsidR="006D768C" w:rsidRPr="00C73BE6" w:rsidRDefault="00C73BE6" w:rsidP="006D768C">
                  <w:pPr>
                    <w:spacing w:before="60"/>
                    <w:jc w:val="center"/>
                    <w:rPr>
                      <w:iCs/>
                      <w:sz w:val="20"/>
                      <w:szCs w:val="20"/>
                      <w:lang w:eastAsia="en-US"/>
                    </w:rPr>
                  </w:pPr>
                  <w:r w:rsidRPr="00C73BE6">
                    <w:rPr>
                      <w:iCs/>
                      <w:sz w:val="20"/>
                      <w:szCs w:val="20"/>
                      <w:lang w:eastAsia="en-US"/>
                    </w:rPr>
                    <w:t>-0.76</w:t>
                  </w:r>
                </w:p>
              </w:tc>
              <w:tc>
                <w:tcPr>
                  <w:tcW w:w="857" w:type="dxa"/>
                </w:tcPr>
                <w:p w14:paraId="1A036DF3" w14:textId="7CD58ADE" w:rsidR="006D768C" w:rsidRPr="00C73BE6" w:rsidRDefault="006D768C" w:rsidP="006D768C">
                  <w:pPr>
                    <w:spacing w:before="60"/>
                    <w:jc w:val="center"/>
                    <w:rPr>
                      <w:iCs/>
                      <w:sz w:val="20"/>
                      <w:szCs w:val="20"/>
                      <w:lang w:eastAsia="en-US"/>
                    </w:rPr>
                  </w:pPr>
                  <w:r w:rsidRPr="00C73BE6">
                    <w:rPr>
                      <w:iCs/>
                      <w:sz w:val="20"/>
                      <w:szCs w:val="20"/>
                      <w:lang w:eastAsia="en-US"/>
                    </w:rPr>
                    <w:t>71/10</w:t>
                  </w:r>
                </w:p>
              </w:tc>
              <w:tc>
                <w:tcPr>
                  <w:tcW w:w="1551" w:type="dxa"/>
                </w:tcPr>
                <w:p w14:paraId="109DB243" w14:textId="5DF52B09" w:rsidR="006D768C" w:rsidRPr="00C73BE6" w:rsidRDefault="00C64997" w:rsidP="006D768C">
                  <w:pPr>
                    <w:spacing w:before="60"/>
                    <w:jc w:val="center"/>
                    <w:rPr>
                      <w:iCs/>
                      <w:sz w:val="20"/>
                      <w:szCs w:val="20"/>
                      <w:lang w:eastAsia="en-US"/>
                    </w:rPr>
                  </w:pPr>
                  <w:r w:rsidRPr="00C73BE6">
                    <w:rPr>
                      <w:iCs/>
                      <w:sz w:val="20"/>
                      <w:szCs w:val="20"/>
                      <w:lang w:eastAsia="en-US"/>
                    </w:rPr>
                    <w:t>60/0</w:t>
                  </w:r>
                </w:p>
              </w:tc>
              <w:tc>
                <w:tcPr>
                  <w:tcW w:w="1551" w:type="dxa"/>
                </w:tcPr>
                <w:p w14:paraId="0CCC638C" w14:textId="0AA8B3A9" w:rsidR="006D768C" w:rsidRPr="00C73BE6" w:rsidRDefault="006D768C" w:rsidP="006D768C">
                  <w:pPr>
                    <w:spacing w:before="60"/>
                    <w:jc w:val="center"/>
                    <w:rPr>
                      <w:iCs/>
                      <w:sz w:val="20"/>
                      <w:szCs w:val="20"/>
                      <w:lang w:eastAsia="en-US"/>
                    </w:rPr>
                  </w:pPr>
                  <w:r w:rsidRPr="00C73BE6">
                    <w:rPr>
                      <w:iCs/>
                      <w:sz w:val="20"/>
                      <w:szCs w:val="20"/>
                      <w:lang w:eastAsia="en-US"/>
                    </w:rPr>
                    <w:t>55/6</w:t>
                  </w:r>
                </w:p>
              </w:tc>
            </w:tr>
            <w:tr w:rsidR="00C73BE6" w14:paraId="2B5B96A1" w14:textId="77777777" w:rsidTr="00FB018F">
              <w:trPr>
                <w:trHeight w:val="456"/>
              </w:trPr>
              <w:tc>
                <w:tcPr>
                  <w:tcW w:w="1146" w:type="dxa"/>
                  <w:shd w:val="clear" w:color="auto" w:fill="B6DDE8" w:themeFill="accent5" w:themeFillTint="66"/>
                </w:tcPr>
                <w:p w14:paraId="4738C934" w14:textId="665BEBBA" w:rsidR="006D768C" w:rsidRPr="00C73BE6" w:rsidRDefault="006D768C" w:rsidP="006D768C">
                  <w:pPr>
                    <w:spacing w:before="60"/>
                    <w:jc w:val="center"/>
                    <w:rPr>
                      <w:iCs/>
                      <w:sz w:val="20"/>
                      <w:szCs w:val="20"/>
                      <w:lang w:eastAsia="en-US"/>
                    </w:rPr>
                  </w:pPr>
                  <w:r w:rsidRPr="00C73BE6">
                    <w:rPr>
                      <w:iCs/>
                      <w:sz w:val="20"/>
                      <w:szCs w:val="20"/>
                      <w:lang w:eastAsia="en-US"/>
                    </w:rPr>
                    <w:t>Maths</w:t>
                  </w:r>
                </w:p>
              </w:tc>
              <w:tc>
                <w:tcPr>
                  <w:tcW w:w="1147" w:type="dxa"/>
                  <w:gridSpan w:val="2"/>
                </w:tcPr>
                <w:p w14:paraId="688BAF1F" w14:textId="36AA7EAF" w:rsidR="006D768C" w:rsidRPr="00C73BE6" w:rsidRDefault="00C73BE6" w:rsidP="006D768C">
                  <w:pPr>
                    <w:spacing w:before="60"/>
                    <w:jc w:val="center"/>
                    <w:rPr>
                      <w:iCs/>
                      <w:sz w:val="20"/>
                      <w:szCs w:val="20"/>
                      <w:lang w:eastAsia="en-US"/>
                    </w:rPr>
                  </w:pPr>
                  <w:r w:rsidRPr="00C73BE6">
                    <w:rPr>
                      <w:iCs/>
                      <w:sz w:val="20"/>
                      <w:szCs w:val="20"/>
                      <w:lang w:eastAsia="en-US"/>
                    </w:rPr>
                    <w:t>-0.85</w:t>
                  </w:r>
                </w:p>
              </w:tc>
              <w:tc>
                <w:tcPr>
                  <w:tcW w:w="1146" w:type="dxa"/>
                </w:tcPr>
                <w:p w14:paraId="51CA334B" w14:textId="0B12FEF8" w:rsidR="006D768C" w:rsidRPr="00C73BE6" w:rsidRDefault="00C73BE6" w:rsidP="006D768C">
                  <w:pPr>
                    <w:spacing w:before="60"/>
                    <w:jc w:val="center"/>
                    <w:rPr>
                      <w:iCs/>
                      <w:sz w:val="20"/>
                      <w:szCs w:val="20"/>
                      <w:lang w:eastAsia="en-US"/>
                    </w:rPr>
                  </w:pPr>
                  <w:r w:rsidRPr="00C73BE6">
                    <w:rPr>
                      <w:iCs/>
                      <w:sz w:val="20"/>
                      <w:szCs w:val="20"/>
                      <w:lang w:eastAsia="en-US"/>
                    </w:rPr>
                    <w:t>-0.42</w:t>
                  </w:r>
                </w:p>
              </w:tc>
              <w:tc>
                <w:tcPr>
                  <w:tcW w:w="1147" w:type="dxa"/>
                </w:tcPr>
                <w:p w14:paraId="551EA7D3" w14:textId="6310EFB6" w:rsidR="006D768C" w:rsidRPr="00C73BE6" w:rsidRDefault="00C73BE6" w:rsidP="006D768C">
                  <w:pPr>
                    <w:spacing w:before="60"/>
                    <w:jc w:val="center"/>
                    <w:rPr>
                      <w:iCs/>
                      <w:sz w:val="20"/>
                      <w:szCs w:val="20"/>
                      <w:lang w:eastAsia="en-US"/>
                    </w:rPr>
                  </w:pPr>
                  <w:r w:rsidRPr="00C73BE6">
                    <w:rPr>
                      <w:iCs/>
                      <w:sz w:val="20"/>
                      <w:szCs w:val="20"/>
                      <w:lang w:eastAsia="en-US"/>
                    </w:rPr>
                    <w:t>0.83</w:t>
                  </w:r>
                </w:p>
              </w:tc>
              <w:tc>
                <w:tcPr>
                  <w:tcW w:w="857" w:type="dxa"/>
                </w:tcPr>
                <w:p w14:paraId="141932DB" w14:textId="569FCB33" w:rsidR="006D768C" w:rsidRPr="00C73BE6" w:rsidRDefault="003B0B3D" w:rsidP="006D768C">
                  <w:pPr>
                    <w:spacing w:before="60"/>
                    <w:jc w:val="center"/>
                    <w:rPr>
                      <w:iCs/>
                      <w:sz w:val="20"/>
                      <w:szCs w:val="20"/>
                      <w:lang w:eastAsia="en-US"/>
                    </w:rPr>
                  </w:pPr>
                  <w:r w:rsidRPr="00C73BE6">
                    <w:rPr>
                      <w:iCs/>
                      <w:sz w:val="20"/>
                      <w:szCs w:val="20"/>
                      <w:lang w:eastAsia="en-US"/>
                    </w:rPr>
                    <w:t>77/29</w:t>
                  </w:r>
                </w:p>
              </w:tc>
              <w:tc>
                <w:tcPr>
                  <w:tcW w:w="1551" w:type="dxa"/>
                </w:tcPr>
                <w:p w14:paraId="25C0AFEF" w14:textId="30D9F84C" w:rsidR="006D768C" w:rsidRPr="00C73BE6" w:rsidRDefault="00C64997" w:rsidP="006D768C">
                  <w:pPr>
                    <w:spacing w:before="60"/>
                    <w:jc w:val="center"/>
                    <w:rPr>
                      <w:iCs/>
                      <w:sz w:val="20"/>
                      <w:szCs w:val="20"/>
                      <w:lang w:eastAsia="en-US"/>
                    </w:rPr>
                  </w:pPr>
                  <w:r w:rsidRPr="00C73BE6">
                    <w:rPr>
                      <w:iCs/>
                      <w:sz w:val="20"/>
                      <w:szCs w:val="20"/>
                      <w:lang w:eastAsia="en-US"/>
                    </w:rPr>
                    <w:t>30/30</w:t>
                  </w:r>
                </w:p>
              </w:tc>
              <w:tc>
                <w:tcPr>
                  <w:tcW w:w="1551" w:type="dxa"/>
                </w:tcPr>
                <w:p w14:paraId="6C2A3C63" w14:textId="6D137118" w:rsidR="006D768C" w:rsidRPr="00C73BE6" w:rsidRDefault="006D768C" w:rsidP="006D768C">
                  <w:pPr>
                    <w:spacing w:before="60"/>
                    <w:jc w:val="center"/>
                    <w:rPr>
                      <w:iCs/>
                      <w:sz w:val="20"/>
                      <w:szCs w:val="20"/>
                      <w:lang w:eastAsia="en-US"/>
                    </w:rPr>
                  </w:pPr>
                  <w:r w:rsidRPr="00C73BE6">
                    <w:rPr>
                      <w:iCs/>
                      <w:sz w:val="20"/>
                      <w:szCs w:val="20"/>
                      <w:lang w:eastAsia="en-US"/>
                    </w:rPr>
                    <w:t>57/12</w:t>
                  </w:r>
                </w:p>
              </w:tc>
            </w:tr>
            <w:tr w:rsidR="00C73BE6" w14:paraId="3CA07986" w14:textId="77777777" w:rsidTr="00FB018F">
              <w:trPr>
                <w:trHeight w:val="460"/>
              </w:trPr>
              <w:tc>
                <w:tcPr>
                  <w:tcW w:w="1146" w:type="dxa"/>
                  <w:shd w:val="clear" w:color="auto" w:fill="B6DDE8" w:themeFill="accent5" w:themeFillTint="66"/>
                </w:tcPr>
                <w:p w14:paraId="73AE7148" w14:textId="4C091A23" w:rsidR="006D768C" w:rsidRPr="00C73BE6" w:rsidRDefault="006D768C" w:rsidP="006D768C">
                  <w:pPr>
                    <w:spacing w:before="60"/>
                    <w:jc w:val="center"/>
                    <w:rPr>
                      <w:iCs/>
                      <w:sz w:val="20"/>
                      <w:szCs w:val="20"/>
                      <w:lang w:eastAsia="en-US"/>
                    </w:rPr>
                  </w:pPr>
                  <w:r w:rsidRPr="00C73BE6">
                    <w:rPr>
                      <w:iCs/>
                      <w:sz w:val="20"/>
                      <w:szCs w:val="20"/>
                      <w:lang w:eastAsia="en-US"/>
                    </w:rPr>
                    <w:t>Combined</w:t>
                  </w:r>
                </w:p>
              </w:tc>
              <w:tc>
                <w:tcPr>
                  <w:tcW w:w="1147" w:type="dxa"/>
                  <w:gridSpan w:val="2"/>
                </w:tcPr>
                <w:p w14:paraId="063CCC59" w14:textId="2DF1B64A" w:rsidR="006D768C" w:rsidRPr="00C73BE6" w:rsidRDefault="00C73BE6" w:rsidP="006D768C">
                  <w:pPr>
                    <w:spacing w:before="60"/>
                    <w:jc w:val="center"/>
                    <w:rPr>
                      <w:iCs/>
                      <w:sz w:val="20"/>
                      <w:szCs w:val="20"/>
                      <w:lang w:eastAsia="en-US"/>
                    </w:rPr>
                  </w:pPr>
                  <w:r w:rsidRPr="00C73BE6">
                    <w:rPr>
                      <w:iCs/>
                      <w:sz w:val="20"/>
                      <w:szCs w:val="20"/>
                      <w:lang w:eastAsia="en-US"/>
                    </w:rPr>
                    <w:t>-</w:t>
                  </w:r>
                </w:p>
              </w:tc>
              <w:tc>
                <w:tcPr>
                  <w:tcW w:w="1146" w:type="dxa"/>
                </w:tcPr>
                <w:p w14:paraId="6578291A" w14:textId="12C24A46" w:rsidR="006D768C" w:rsidRPr="00C73BE6" w:rsidRDefault="00C73BE6" w:rsidP="006D768C">
                  <w:pPr>
                    <w:spacing w:before="60"/>
                    <w:jc w:val="center"/>
                    <w:rPr>
                      <w:iCs/>
                      <w:sz w:val="20"/>
                      <w:szCs w:val="20"/>
                      <w:lang w:eastAsia="en-US"/>
                    </w:rPr>
                  </w:pPr>
                  <w:r w:rsidRPr="00C73BE6">
                    <w:rPr>
                      <w:iCs/>
                      <w:sz w:val="20"/>
                      <w:szCs w:val="20"/>
                      <w:lang w:eastAsia="en-US"/>
                    </w:rPr>
                    <w:t>-</w:t>
                  </w:r>
                </w:p>
              </w:tc>
              <w:tc>
                <w:tcPr>
                  <w:tcW w:w="1147" w:type="dxa"/>
                </w:tcPr>
                <w:p w14:paraId="4DCDC22E" w14:textId="2825FDEA" w:rsidR="006D768C" w:rsidRPr="00C73BE6" w:rsidRDefault="006D768C" w:rsidP="006D768C">
                  <w:pPr>
                    <w:spacing w:before="60"/>
                    <w:jc w:val="center"/>
                    <w:rPr>
                      <w:iCs/>
                      <w:sz w:val="20"/>
                      <w:szCs w:val="20"/>
                      <w:lang w:eastAsia="en-US"/>
                    </w:rPr>
                  </w:pPr>
                  <w:r w:rsidRPr="00C73BE6">
                    <w:rPr>
                      <w:iCs/>
                      <w:sz w:val="20"/>
                      <w:szCs w:val="20"/>
                      <w:lang w:eastAsia="en-US"/>
                    </w:rPr>
                    <w:t>-</w:t>
                  </w:r>
                </w:p>
              </w:tc>
              <w:tc>
                <w:tcPr>
                  <w:tcW w:w="857" w:type="dxa"/>
                </w:tcPr>
                <w:p w14:paraId="699F4297" w14:textId="1A837D15" w:rsidR="006D768C" w:rsidRPr="00C73BE6" w:rsidRDefault="003B0B3D" w:rsidP="006D768C">
                  <w:pPr>
                    <w:spacing w:before="60"/>
                    <w:jc w:val="center"/>
                    <w:rPr>
                      <w:iCs/>
                      <w:sz w:val="20"/>
                      <w:szCs w:val="20"/>
                      <w:lang w:eastAsia="en-US"/>
                    </w:rPr>
                  </w:pPr>
                  <w:r w:rsidRPr="00C73BE6">
                    <w:rPr>
                      <w:iCs/>
                      <w:sz w:val="20"/>
                      <w:szCs w:val="20"/>
                      <w:lang w:eastAsia="en-US"/>
                    </w:rPr>
                    <w:t>65/10</w:t>
                  </w:r>
                </w:p>
              </w:tc>
              <w:tc>
                <w:tcPr>
                  <w:tcW w:w="1551" w:type="dxa"/>
                </w:tcPr>
                <w:p w14:paraId="1DCA7991" w14:textId="5E0D240E" w:rsidR="006D768C" w:rsidRPr="00C73BE6" w:rsidRDefault="00C64997" w:rsidP="006D768C">
                  <w:pPr>
                    <w:spacing w:before="60"/>
                    <w:jc w:val="center"/>
                    <w:rPr>
                      <w:iCs/>
                      <w:sz w:val="20"/>
                      <w:szCs w:val="20"/>
                      <w:lang w:eastAsia="en-US"/>
                    </w:rPr>
                  </w:pPr>
                  <w:r w:rsidRPr="00C73BE6">
                    <w:rPr>
                      <w:iCs/>
                      <w:sz w:val="20"/>
                      <w:szCs w:val="20"/>
                      <w:lang w:eastAsia="en-US"/>
                    </w:rPr>
                    <w:t>50/0</w:t>
                  </w:r>
                </w:p>
              </w:tc>
              <w:tc>
                <w:tcPr>
                  <w:tcW w:w="1551" w:type="dxa"/>
                </w:tcPr>
                <w:p w14:paraId="7BA679ED" w14:textId="4E37FEF2" w:rsidR="006D768C" w:rsidRPr="00C73BE6" w:rsidRDefault="006D768C" w:rsidP="006D768C">
                  <w:pPr>
                    <w:spacing w:before="60"/>
                    <w:jc w:val="center"/>
                    <w:rPr>
                      <w:iCs/>
                      <w:sz w:val="20"/>
                      <w:szCs w:val="20"/>
                      <w:lang w:eastAsia="en-US"/>
                    </w:rPr>
                  </w:pPr>
                  <w:r w:rsidRPr="00C73BE6">
                    <w:rPr>
                      <w:iCs/>
                      <w:sz w:val="20"/>
                      <w:szCs w:val="20"/>
                      <w:lang w:eastAsia="en-US"/>
                    </w:rPr>
                    <w:t>-</w:t>
                  </w:r>
                </w:p>
              </w:tc>
            </w:tr>
            <w:tr w:rsidR="00DF7A6B" w14:paraId="688FE79C" w14:textId="77777777" w:rsidTr="00FB018F">
              <w:trPr>
                <w:trHeight w:val="460"/>
              </w:trPr>
              <w:tc>
                <w:tcPr>
                  <w:tcW w:w="1154" w:type="dxa"/>
                  <w:gridSpan w:val="2"/>
                  <w:shd w:val="clear" w:color="auto" w:fill="B6DDE8" w:themeFill="accent5" w:themeFillTint="66"/>
                </w:tcPr>
                <w:p w14:paraId="41077C4E" w14:textId="77777777" w:rsidR="00DF7A6B" w:rsidRPr="00C73BE6" w:rsidRDefault="00DF7A6B" w:rsidP="006D768C">
                  <w:pPr>
                    <w:spacing w:before="60"/>
                    <w:jc w:val="center"/>
                    <w:rPr>
                      <w:iCs/>
                      <w:sz w:val="20"/>
                      <w:szCs w:val="20"/>
                      <w:lang w:eastAsia="en-US"/>
                    </w:rPr>
                  </w:pPr>
                </w:p>
              </w:tc>
              <w:tc>
                <w:tcPr>
                  <w:tcW w:w="3432" w:type="dxa"/>
                  <w:gridSpan w:val="3"/>
                  <w:shd w:val="clear" w:color="auto" w:fill="B6DDE8" w:themeFill="accent5" w:themeFillTint="66"/>
                </w:tcPr>
                <w:p w14:paraId="322965E9" w14:textId="29162FCC" w:rsidR="00FB018F" w:rsidRDefault="00DF7A6B" w:rsidP="006D768C">
                  <w:pPr>
                    <w:spacing w:before="60"/>
                    <w:jc w:val="center"/>
                    <w:rPr>
                      <w:iCs/>
                      <w:sz w:val="20"/>
                      <w:szCs w:val="20"/>
                      <w:lang w:eastAsia="en-US"/>
                    </w:rPr>
                  </w:pPr>
                  <w:r>
                    <w:rPr>
                      <w:iCs/>
                      <w:sz w:val="20"/>
                      <w:szCs w:val="20"/>
                      <w:lang w:eastAsia="en-US"/>
                    </w:rPr>
                    <w:t xml:space="preserve">KS1 Attainment </w:t>
                  </w:r>
                  <w:r w:rsidR="00FB018F">
                    <w:rPr>
                      <w:iCs/>
                      <w:sz w:val="20"/>
                      <w:szCs w:val="20"/>
                      <w:lang w:eastAsia="en-US"/>
                    </w:rPr>
                    <w:t xml:space="preserve"> %</w:t>
                  </w:r>
                </w:p>
                <w:p w14:paraId="22924C58" w14:textId="419FFFE9" w:rsidR="00DF7A6B" w:rsidRPr="00C73BE6" w:rsidRDefault="00DF7A6B" w:rsidP="006D768C">
                  <w:pPr>
                    <w:spacing w:before="60"/>
                    <w:jc w:val="center"/>
                    <w:rPr>
                      <w:iCs/>
                      <w:sz w:val="20"/>
                      <w:szCs w:val="20"/>
                      <w:lang w:eastAsia="en-US"/>
                    </w:rPr>
                  </w:pPr>
                  <w:r>
                    <w:rPr>
                      <w:iCs/>
                      <w:sz w:val="20"/>
                      <w:szCs w:val="20"/>
                      <w:lang w:eastAsia="en-US"/>
                    </w:rPr>
                    <w:t>EXS/GDS</w:t>
                  </w:r>
                </w:p>
              </w:tc>
              <w:tc>
                <w:tcPr>
                  <w:tcW w:w="857" w:type="dxa"/>
                  <w:shd w:val="clear" w:color="auto" w:fill="B6DDE8" w:themeFill="accent5" w:themeFillTint="66"/>
                </w:tcPr>
                <w:p w14:paraId="61877EFE" w14:textId="499FEC93" w:rsidR="00DF7A6B" w:rsidRPr="00C73BE6" w:rsidRDefault="00DF7A6B" w:rsidP="006D768C">
                  <w:pPr>
                    <w:spacing w:before="60"/>
                    <w:jc w:val="center"/>
                    <w:rPr>
                      <w:iCs/>
                      <w:sz w:val="20"/>
                      <w:szCs w:val="20"/>
                      <w:lang w:eastAsia="en-US"/>
                    </w:rPr>
                  </w:pPr>
                  <w:r>
                    <w:rPr>
                      <w:iCs/>
                      <w:sz w:val="20"/>
                      <w:szCs w:val="20"/>
                      <w:lang w:eastAsia="en-US"/>
                    </w:rPr>
                    <w:t>All pupils</w:t>
                  </w:r>
                </w:p>
              </w:tc>
              <w:tc>
                <w:tcPr>
                  <w:tcW w:w="1551" w:type="dxa"/>
                  <w:shd w:val="clear" w:color="auto" w:fill="B6DDE8" w:themeFill="accent5" w:themeFillTint="66"/>
                </w:tcPr>
                <w:p w14:paraId="261FCADD" w14:textId="0C47BE2D" w:rsidR="00DF7A6B" w:rsidRPr="00C73BE6" w:rsidRDefault="00DF7A6B" w:rsidP="006D768C">
                  <w:pPr>
                    <w:spacing w:before="60"/>
                    <w:jc w:val="center"/>
                    <w:rPr>
                      <w:iCs/>
                      <w:sz w:val="20"/>
                      <w:szCs w:val="20"/>
                      <w:lang w:eastAsia="en-US"/>
                    </w:rPr>
                  </w:pPr>
                  <w:r>
                    <w:rPr>
                      <w:iCs/>
                      <w:sz w:val="20"/>
                      <w:szCs w:val="20"/>
                      <w:lang w:eastAsia="en-US"/>
                    </w:rPr>
                    <w:t>Disadvantaged pupils</w:t>
                  </w:r>
                </w:p>
              </w:tc>
              <w:tc>
                <w:tcPr>
                  <w:tcW w:w="1551" w:type="dxa"/>
                  <w:shd w:val="clear" w:color="auto" w:fill="B6DDE8" w:themeFill="accent5" w:themeFillTint="66"/>
                </w:tcPr>
                <w:p w14:paraId="2CB64C0A" w14:textId="68CDA354" w:rsidR="00DF7A6B" w:rsidRPr="00C73BE6" w:rsidRDefault="00DF7A6B" w:rsidP="006D768C">
                  <w:pPr>
                    <w:spacing w:before="60"/>
                    <w:jc w:val="center"/>
                    <w:rPr>
                      <w:iCs/>
                      <w:sz w:val="20"/>
                      <w:szCs w:val="20"/>
                      <w:lang w:eastAsia="en-US"/>
                    </w:rPr>
                  </w:pPr>
                  <w:r>
                    <w:rPr>
                      <w:iCs/>
                      <w:sz w:val="20"/>
                      <w:szCs w:val="20"/>
                      <w:lang w:eastAsia="en-US"/>
                    </w:rPr>
                    <w:t>National</w:t>
                  </w:r>
                </w:p>
              </w:tc>
            </w:tr>
            <w:tr w:rsidR="00FB018F" w14:paraId="0EC2A792" w14:textId="77777777" w:rsidTr="00FB018F">
              <w:trPr>
                <w:trHeight w:val="1018"/>
              </w:trPr>
              <w:tc>
                <w:tcPr>
                  <w:tcW w:w="1146" w:type="dxa"/>
                  <w:vMerge w:val="restart"/>
                  <w:shd w:val="clear" w:color="auto" w:fill="B6DDE8" w:themeFill="accent5" w:themeFillTint="66"/>
                </w:tcPr>
                <w:p w14:paraId="432C651B" w14:textId="77777777" w:rsidR="00FB018F" w:rsidRDefault="00FB018F" w:rsidP="00DF7A6B">
                  <w:pPr>
                    <w:spacing w:before="60"/>
                    <w:rPr>
                      <w:iCs/>
                      <w:sz w:val="20"/>
                      <w:szCs w:val="20"/>
                      <w:lang w:eastAsia="en-US"/>
                    </w:rPr>
                  </w:pPr>
                </w:p>
                <w:p w14:paraId="5E099A16" w14:textId="2A030261" w:rsidR="00FB018F" w:rsidRDefault="00FB018F" w:rsidP="00DF7A6B">
                  <w:pPr>
                    <w:spacing w:before="60"/>
                    <w:jc w:val="center"/>
                    <w:rPr>
                      <w:iCs/>
                      <w:sz w:val="20"/>
                      <w:szCs w:val="20"/>
                      <w:lang w:eastAsia="en-US"/>
                    </w:rPr>
                  </w:pPr>
                </w:p>
              </w:tc>
              <w:tc>
                <w:tcPr>
                  <w:tcW w:w="1147" w:type="dxa"/>
                  <w:gridSpan w:val="2"/>
                  <w:vMerge w:val="restart"/>
                </w:tcPr>
                <w:p w14:paraId="316915A9" w14:textId="2DDC081A" w:rsidR="00FB018F" w:rsidRPr="00C73BE6" w:rsidRDefault="00FB018F" w:rsidP="00DF7A6B">
                  <w:pPr>
                    <w:spacing w:before="60"/>
                    <w:jc w:val="center"/>
                    <w:rPr>
                      <w:iCs/>
                      <w:sz w:val="20"/>
                      <w:szCs w:val="20"/>
                      <w:lang w:eastAsia="en-US"/>
                    </w:rPr>
                  </w:pPr>
                  <w:r w:rsidRPr="00C73BE6">
                    <w:rPr>
                      <w:iCs/>
                      <w:sz w:val="20"/>
                      <w:szCs w:val="20"/>
                      <w:lang w:eastAsia="en-US"/>
                    </w:rPr>
                    <w:t>All Pupils</w:t>
                  </w:r>
                </w:p>
              </w:tc>
              <w:tc>
                <w:tcPr>
                  <w:tcW w:w="1146" w:type="dxa"/>
                  <w:vMerge w:val="restart"/>
                </w:tcPr>
                <w:p w14:paraId="2770BBCE" w14:textId="7216B0F2" w:rsidR="00FB018F" w:rsidRPr="00C73BE6" w:rsidRDefault="00FB018F" w:rsidP="00DF7A6B">
                  <w:pPr>
                    <w:spacing w:before="60"/>
                    <w:jc w:val="center"/>
                    <w:rPr>
                      <w:iCs/>
                      <w:sz w:val="20"/>
                      <w:szCs w:val="20"/>
                      <w:lang w:eastAsia="en-US"/>
                    </w:rPr>
                  </w:pPr>
                  <w:r w:rsidRPr="00C73BE6">
                    <w:rPr>
                      <w:iCs/>
                      <w:sz w:val="20"/>
                      <w:szCs w:val="20"/>
                      <w:lang w:eastAsia="en-US"/>
                    </w:rPr>
                    <w:t>Disadvantaged pupils</w:t>
                  </w:r>
                </w:p>
              </w:tc>
              <w:tc>
                <w:tcPr>
                  <w:tcW w:w="1147" w:type="dxa"/>
                  <w:vMerge w:val="restart"/>
                </w:tcPr>
                <w:p w14:paraId="2AE18549" w14:textId="6B8F158B" w:rsidR="00FB018F" w:rsidRPr="00C73BE6" w:rsidRDefault="00FB018F" w:rsidP="00DF7A6B">
                  <w:pPr>
                    <w:spacing w:before="60"/>
                    <w:jc w:val="center"/>
                    <w:rPr>
                      <w:iCs/>
                      <w:sz w:val="20"/>
                      <w:szCs w:val="20"/>
                      <w:lang w:eastAsia="en-US"/>
                    </w:rPr>
                  </w:pPr>
                  <w:r w:rsidRPr="00C73BE6">
                    <w:rPr>
                      <w:iCs/>
                      <w:sz w:val="20"/>
                      <w:szCs w:val="20"/>
                      <w:lang w:eastAsia="en-US"/>
                    </w:rPr>
                    <w:t>National All Pupils</w:t>
                  </w:r>
                </w:p>
              </w:tc>
              <w:tc>
                <w:tcPr>
                  <w:tcW w:w="3959" w:type="dxa"/>
                  <w:gridSpan w:val="3"/>
                  <w:shd w:val="clear" w:color="auto" w:fill="B6DDE8" w:themeFill="accent5" w:themeFillTint="66"/>
                </w:tcPr>
                <w:p w14:paraId="5D57DCE8" w14:textId="20DB90C4" w:rsidR="00FB018F" w:rsidRDefault="00FB018F" w:rsidP="00FB018F">
                  <w:pPr>
                    <w:spacing w:before="60"/>
                    <w:jc w:val="center"/>
                    <w:rPr>
                      <w:iCs/>
                      <w:sz w:val="20"/>
                      <w:szCs w:val="20"/>
                      <w:lang w:eastAsia="en-US"/>
                    </w:rPr>
                  </w:pPr>
                  <w:r>
                    <w:rPr>
                      <w:iCs/>
                      <w:sz w:val="20"/>
                      <w:szCs w:val="20"/>
                      <w:lang w:eastAsia="en-US"/>
                    </w:rPr>
                    <w:t>PSC</w:t>
                  </w:r>
                </w:p>
              </w:tc>
            </w:tr>
            <w:tr w:rsidR="00FB018F" w14:paraId="2F78DD5A" w14:textId="77777777" w:rsidTr="00FB018F">
              <w:trPr>
                <w:trHeight w:val="43"/>
              </w:trPr>
              <w:tc>
                <w:tcPr>
                  <w:tcW w:w="1146" w:type="dxa"/>
                  <w:vMerge/>
                  <w:shd w:val="clear" w:color="auto" w:fill="B6DDE8" w:themeFill="accent5" w:themeFillTint="66"/>
                </w:tcPr>
                <w:p w14:paraId="671CA7F5" w14:textId="4A1FACFD" w:rsidR="00FB018F" w:rsidRDefault="00FB018F" w:rsidP="00DF7A6B">
                  <w:pPr>
                    <w:spacing w:before="60"/>
                    <w:jc w:val="center"/>
                    <w:rPr>
                      <w:iCs/>
                      <w:sz w:val="20"/>
                      <w:szCs w:val="20"/>
                      <w:lang w:eastAsia="en-US"/>
                    </w:rPr>
                  </w:pPr>
                </w:p>
              </w:tc>
              <w:tc>
                <w:tcPr>
                  <w:tcW w:w="1147" w:type="dxa"/>
                  <w:gridSpan w:val="2"/>
                  <w:vMerge/>
                </w:tcPr>
                <w:p w14:paraId="51645970" w14:textId="77777777" w:rsidR="00FB018F" w:rsidRPr="00C73BE6" w:rsidRDefault="00FB018F" w:rsidP="00DF7A6B">
                  <w:pPr>
                    <w:spacing w:before="60"/>
                    <w:jc w:val="center"/>
                    <w:rPr>
                      <w:iCs/>
                      <w:sz w:val="20"/>
                      <w:szCs w:val="20"/>
                      <w:lang w:eastAsia="en-US"/>
                    </w:rPr>
                  </w:pPr>
                </w:p>
              </w:tc>
              <w:tc>
                <w:tcPr>
                  <w:tcW w:w="1146" w:type="dxa"/>
                  <w:vMerge/>
                </w:tcPr>
                <w:p w14:paraId="11C80C0F" w14:textId="77777777" w:rsidR="00FB018F" w:rsidRPr="00C73BE6" w:rsidRDefault="00FB018F" w:rsidP="00DF7A6B">
                  <w:pPr>
                    <w:spacing w:before="60"/>
                    <w:jc w:val="center"/>
                    <w:rPr>
                      <w:iCs/>
                      <w:sz w:val="20"/>
                      <w:szCs w:val="20"/>
                      <w:lang w:eastAsia="en-US"/>
                    </w:rPr>
                  </w:pPr>
                </w:p>
              </w:tc>
              <w:tc>
                <w:tcPr>
                  <w:tcW w:w="1147" w:type="dxa"/>
                  <w:vMerge/>
                </w:tcPr>
                <w:p w14:paraId="42836448" w14:textId="77777777" w:rsidR="00FB018F" w:rsidRPr="00C73BE6" w:rsidRDefault="00FB018F" w:rsidP="00DF7A6B">
                  <w:pPr>
                    <w:spacing w:before="60"/>
                    <w:jc w:val="center"/>
                    <w:rPr>
                      <w:iCs/>
                      <w:sz w:val="20"/>
                      <w:szCs w:val="20"/>
                      <w:lang w:eastAsia="en-US"/>
                    </w:rPr>
                  </w:pPr>
                </w:p>
              </w:tc>
              <w:tc>
                <w:tcPr>
                  <w:tcW w:w="857" w:type="dxa"/>
                </w:tcPr>
                <w:p w14:paraId="45AAE6E9" w14:textId="03B715A5" w:rsidR="00FB018F" w:rsidRDefault="003F53EC" w:rsidP="00DF7A6B">
                  <w:pPr>
                    <w:spacing w:before="60"/>
                    <w:jc w:val="center"/>
                    <w:rPr>
                      <w:iCs/>
                      <w:sz w:val="20"/>
                      <w:szCs w:val="20"/>
                      <w:lang w:eastAsia="en-US"/>
                    </w:rPr>
                  </w:pPr>
                  <w:r>
                    <w:rPr>
                      <w:iCs/>
                      <w:sz w:val="20"/>
                      <w:szCs w:val="20"/>
                      <w:lang w:eastAsia="en-US"/>
                    </w:rPr>
                    <w:t>43</w:t>
                  </w:r>
                </w:p>
              </w:tc>
              <w:tc>
                <w:tcPr>
                  <w:tcW w:w="1551" w:type="dxa"/>
                </w:tcPr>
                <w:p w14:paraId="486960CB" w14:textId="50C7C5F1" w:rsidR="00FB018F" w:rsidRDefault="003F53EC" w:rsidP="00DF7A6B">
                  <w:pPr>
                    <w:spacing w:before="60"/>
                    <w:jc w:val="center"/>
                    <w:rPr>
                      <w:iCs/>
                      <w:sz w:val="20"/>
                      <w:szCs w:val="20"/>
                      <w:lang w:eastAsia="en-US"/>
                    </w:rPr>
                  </w:pPr>
                  <w:r>
                    <w:rPr>
                      <w:iCs/>
                      <w:sz w:val="20"/>
                      <w:szCs w:val="20"/>
                      <w:lang w:eastAsia="en-US"/>
                    </w:rPr>
                    <w:t>75</w:t>
                  </w:r>
                </w:p>
              </w:tc>
              <w:tc>
                <w:tcPr>
                  <w:tcW w:w="1551" w:type="dxa"/>
                </w:tcPr>
                <w:p w14:paraId="0DB33805" w14:textId="09880741" w:rsidR="00FB018F" w:rsidRDefault="003F53EC" w:rsidP="00DF7A6B">
                  <w:pPr>
                    <w:spacing w:before="60"/>
                    <w:jc w:val="center"/>
                    <w:rPr>
                      <w:iCs/>
                      <w:sz w:val="20"/>
                      <w:szCs w:val="20"/>
                      <w:lang w:eastAsia="en-US"/>
                    </w:rPr>
                  </w:pPr>
                  <w:r>
                    <w:rPr>
                      <w:iCs/>
                      <w:sz w:val="20"/>
                      <w:szCs w:val="20"/>
                      <w:lang w:eastAsia="en-US"/>
                    </w:rPr>
                    <w:t>75</w:t>
                  </w:r>
                </w:p>
              </w:tc>
            </w:tr>
            <w:tr w:rsidR="00DF7A6B" w14:paraId="0D3E693D" w14:textId="77777777" w:rsidTr="00FB018F">
              <w:trPr>
                <w:trHeight w:val="321"/>
              </w:trPr>
              <w:tc>
                <w:tcPr>
                  <w:tcW w:w="1146" w:type="dxa"/>
                  <w:shd w:val="clear" w:color="auto" w:fill="B6DDE8" w:themeFill="accent5" w:themeFillTint="66"/>
                </w:tcPr>
                <w:p w14:paraId="0EDAE015" w14:textId="4C2E024C" w:rsidR="00DF7A6B" w:rsidRPr="00C73BE6" w:rsidRDefault="00DF7A6B" w:rsidP="00DF7A6B">
                  <w:pPr>
                    <w:spacing w:before="60"/>
                    <w:jc w:val="center"/>
                    <w:rPr>
                      <w:iCs/>
                      <w:sz w:val="20"/>
                      <w:szCs w:val="20"/>
                      <w:lang w:eastAsia="en-US"/>
                    </w:rPr>
                  </w:pPr>
                  <w:r>
                    <w:rPr>
                      <w:iCs/>
                      <w:sz w:val="20"/>
                      <w:szCs w:val="20"/>
                      <w:lang w:eastAsia="en-US"/>
                    </w:rPr>
                    <w:t>Reading</w:t>
                  </w:r>
                </w:p>
              </w:tc>
              <w:tc>
                <w:tcPr>
                  <w:tcW w:w="1147" w:type="dxa"/>
                  <w:gridSpan w:val="2"/>
                  <w:shd w:val="clear" w:color="auto" w:fill="auto"/>
                </w:tcPr>
                <w:p w14:paraId="7DD34C48" w14:textId="429F1029" w:rsidR="00DF7A6B" w:rsidRPr="00C73BE6" w:rsidRDefault="003F53EC" w:rsidP="00DF7A6B">
                  <w:pPr>
                    <w:spacing w:before="60"/>
                    <w:jc w:val="center"/>
                    <w:rPr>
                      <w:iCs/>
                      <w:sz w:val="20"/>
                      <w:szCs w:val="20"/>
                      <w:lang w:eastAsia="en-US"/>
                    </w:rPr>
                  </w:pPr>
                  <w:r>
                    <w:rPr>
                      <w:iCs/>
                      <w:sz w:val="20"/>
                      <w:szCs w:val="20"/>
                      <w:lang w:eastAsia="en-US"/>
                    </w:rPr>
                    <w:t>71/18</w:t>
                  </w:r>
                </w:p>
              </w:tc>
              <w:tc>
                <w:tcPr>
                  <w:tcW w:w="1146" w:type="dxa"/>
                  <w:shd w:val="clear" w:color="auto" w:fill="auto"/>
                </w:tcPr>
                <w:p w14:paraId="2E227160" w14:textId="7BC5CDF4" w:rsidR="00DF7A6B" w:rsidRPr="00C73BE6" w:rsidRDefault="003F53EC" w:rsidP="00DF7A6B">
                  <w:pPr>
                    <w:spacing w:before="60"/>
                    <w:jc w:val="center"/>
                    <w:rPr>
                      <w:iCs/>
                      <w:sz w:val="20"/>
                      <w:szCs w:val="20"/>
                      <w:lang w:eastAsia="en-US"/>
                    </w:rPr>
                  </w:pPr>
                  <w:r>
                    <w:rPr>
                      <w:iCs/>
                      <w:sz w:val="20"/>
                      <w:szCs w:val="20"/>
                      <w:lang w:eastAsia="en-US"/>
                    </w:rPr>
                    <w:t>43/28</w:t>
                  </w:r>
                </w:p>
              </w:tc>
              <w:tc>
                <w:tcPr>
                  <w:tcW w:w="1147" w:type="dxa"/>
                  <w:shd w:val="clear" w:color="auto" w:fill="auto"/>
                </w:tcPr>
                <w:p w14:paraId="3645CDB6" w14:textId="78DC7F1F" w:rsidR="00DF7A6B" w:rsidRPr="00C73BE6" w:rsidRDefault="003F53EC" w:rsidP="00DF7A6B">
                  <w:pPr>
                    <w:spacing w:before="60"/>
                    <w:jc w:val="center"/>
                    <w:rPr>
                      <w:iCs/>
                      <w:sz w:val="20"/>
                      <w:szCs w:val="20"/>
                      <w:lang w:eastAsia="en-US"/>
                    </w:rPr>
                  </w:pPr>
                  <w:r>
                    <w:rPr>
                      <w:iCs/>
                      <w:sz w:val="20"/>
                      <w:szCs w:val="20"/>
                      <w:lang w:eastAsia="en-US"/>
                    </w:rPr>
                    <w:t>68/18</w:t>
                  </w:r>
                </w:p>
              </w:tc>
              <w:tc>
                <w:tcPr>
                  <w:tcW w:w="3959" w:type="dxa"/>
                  <w:gridSpan w:val="3"/>
                  <w:vMerge w:val="restart"/>
                  <w:shd w:val="clear" w:color="auto" w:fill="B6DDE8" w:themeFill="accent5" w:themeFillTint="66"/>
                </w:tcPr>
                <w:p w14:paraId="4C6D03FA" w14:textId="05121DAB" w:rsidR="00DF7A6B" w:rsidRDefault="00DF7A6B" w:rsidP="00DF7A6B">
                  <w:pPr>
                    <w:spacing w:before="60"/>
                    <w:jc w:val="center"/>
                    <w:rPr>
                      <w:iCs/>
                      <w:sz w:val="20"/>
                      <w:szCs w:val="20"/>
                      <w:lang w:eastAsia="en-US"/>
                    </w:rPr>
                  </w:pPr>
                  <w:r>
                    <w:rPr>
                      <w:iCs/>
                      <w:sz w:val="20"/>
                      <w:szCs w:val="20"/>
                      <w:lang w:eastAsia="en-US"/>
                    </w:rPr>
                    <w:t>GLD</w:t>
                  </w:r>
                </w:p>
              </w:tc>
            </w:tr>
            <w:tr w:rsidR="00DF7A6B" w14:paraId="54FE6739" w14:textId="77777777" w:rsidTr="00FB018F">
              <w:trPr>
                <w:trHeight w:val="43"/>
              </w:trPr>
              <w:tc>
                <w:tcPr>
                  <w:tcW w:w="1146" w:type="dxa"/>
                  <w:shd w:val="clear" w:color="auto" w:fill="B6DDE8" w:themeFill="accent5" w:themeFillTint="66"/>
                </w:tcPr>
                <w:p w14:paraId="57BB125B" w14:textId="7E78CF30" w:rsidR="00DF7A6B" w:rsidRDefault="00FB018F" w:rsidP="00DF7A6B">
                  <w:pPr>
                    <w:spacing w:before="60"/>
                    <w:jc w:val="center"/>
                    <w:rPr>
                      <w:iCs/>
                      <w:sz w:val="20"/>
                      <w:szCs w:val="20"/>
                      <w:lang w:eastAsia="en-US"/>
                    </w:rPr>
                  </w:pPr>
                  <w:r>
                    <w:rPr>
                      <w:iCs/>
                      <w:sz w:val="20"/>
                      <w:szCs w:val="20"/>
                      <w:lang w:eastAsia="en-US"/>
                    </w:rPr>
                    <w:t>Writing</w:t>
                  </w:r>
                </w:p>
              </w:tc>
              <w:tc>
                <w:tcPr>
                  <w:tcW w:w="1147" w:type="dxa"/>
                  <w:gridSpan w:val="2"/>
                  <w:shd w:val="clear" w:color="auto" w:fill="auto"/>
                </w:tcPr>
                <w:p w14:paraId="3EBC02C7" w14:textId="2343E78B" w:rsidR="00DF7A6B" w:rsidRDefault="003F53EC" w:rsidP="00DF7A6B">
                  <w:pPr>
                    <w:spacing w:before="60"/>
                    <w:jc w:val="center"/>
                    <w:rPr>
                      <w:iCs/>
                      <w:sz w:val="20"/>
                      <w:szCs w:val="20"/>
                      <w:lang w:eastAsia="en-US"/>
                    </w:rPr>
                  </w:pPr>
                  <w:r>
                    <w:rPr>
                      <w:iCs/>
                      <w:sz w:val="20"/>
                      <w:szCs w:val="20"/>
                      <w:lang w:eastAsia="en-US"/>
                    </w:rPr>
                    <w:t>41/6</w:t>
                  </w:r>
                </w:p>
              </w:tc>
              <w:tc>
                <w:tcPr>
                  <w:tcW w:w="1146" w:type="dxa"/>
                  <w:shd w:val="clear" w:color="auto" w:fill="auto"/>
                </w:tcPr>
                <w:p w14:paraId="4DC35E57" w14:textId="02EDEF5B" w:rsidR="00DF7A6B" w:rsidRDefault="003F53EC" w:rsidP="00DF7A6B">
                  <w:pPr>
                    <w:spacing w:before="60"/>
                    <w:jc w:val="center"/>
                    <w:rPr>
                      <w:iCs/>
                      <w:sz w:val="20"/>
                      <w:szCs w:val="20"/>
                      <w:lang w:eastAsia="en-US"/>
                    </w:rPr>
                  </w:pPr>
                  <w:r>
                    <w:rPr>
                      <w:iCs/>
                      <w:sz w:val="20"/>
                      <w:szCs w:val="20"/>
                      <w:lang w:eastAsia="en-US"/>
                    </w:rPr>
                    <w:t>29/0</w:t>
                  </w:r>
                </w:p>
              </w:tc>
              <w:tc>
                <w:tcPr>
                  <w:tcW w:w="1147" w:type="dxa"/>
                  <w:shd w:val="clear" w:color="auto" w:fill="auto"/>
                </w:tcPr>
                <w:p w14:paraId="7D46E04A" w14:textId="0C283120" w:rsidR="00DF7A6B" w:rsidRDefault="003F53EC" w:rsidP="00DF7A6B">
                  <w:pPr>
                    <w:spacing w:before="60"/>
                    <w:jc w:val="center"/>
                    <w:rPr>
                      <w:iCs/>
                      <w:sz w:val="20"/>
                      <w:szCs w:val="20"/>
                      <w:lang w:eastAsia="en-US"/>
                    </w:rPr>
                  </w:pPr>
                  <w:r>
                    <w:rPr>
                      <w:iCs/>
                      <w:sz w:val="20"/>
                      <w:szCs w:val="20"/>
                      <w:lang w:eastAsia="en-US"/>
                    </w:rPr>
                    <w:t>58/8</w:t>
                  </w:r>
                </w:p>
              </w:tc>
              <w:tc>
                <w:tcPr>
                  <w:tcW w:w="3959" w:type="dxa"/>
                  <w:gridSpan w:val="3"/>
                  <w:vMerge/>
                  <w:shd w:val="clear" w:color="auto" w:fill="B6DDE8" w:themeFill="accent5" w:themeFillTint="66"/>
                </w:tcPr>
                <w:p w14:paraId="23176EB2" w14:textId="77777777" w:rsidR="00DF7A6B" w:rsidRDefault="00DF7A6B" w:rsidP="00DF7A6B">
                  <w:pPr>
                    <w:spacing w:before="60"/>
                    <w:jc w:val="center"/>
                    <w:rPr>
                      <w:iCs/>
                      <w:sz w:val="20"/>
                      <w:szCs w:val="20"/>
                      <w:lang w:eastAsia="en-US"/>
                    </w:rPr>
                  </w:pPr>
                </w:p>
              </w:tc>
            </w:tr>
            <w:tr w:rsidR="00DF7A6B" w14:paraId="54FAF330" w14:textId="77777777" w:rsidTr="00FB018F">
              <w:trPr>
                <w:trHeight w:val="460"/>
              </w:trPr>
              <w:tc>
                <w:tcPr>
                  <w:tcW w:w="1146" w:type="dxa"/>
                  <w:shd w:val="clear" w:color="auto" w:fill="B6DDE8" w:themeFill="accent5" w:themeFillTint="66"/>
                </w:tcPr>
                <w:p w14:paraId="446919F3" w14:textId="2BD4C64E" w:rsidR="00DF7A6B" w:rsidRDefault="00DF7A6B" w:rsidP="00DF7A6B">
                  <w:pPr>
                    <w:spacing w:before="60"/>
                    <w:jc w:val="center"/>
                    <w:rPr>
                      <w:iCs/>
                      <w:sz w:val="20"/>
                      <w:szCs w:val="20"/>
                      <w:lang w:eastAsia="en-US"/>
                    </w:rPr>
                  </w:pPr>
                  <w:r>
                    <w:rPr>
                      <w:iCs/>
                      <w:sz w:val="20"/>
                      <w:szCs w:val="20"/>
                      <w:lang w:eastAsia="en-US"/>
                    </w:rPr>
                    <w:t>Maths</w:t>
                  </w:r>
                </w:p>
              </w:tc>
              <w:tc>
                <w:tcPr>
                  <w:tcW w:w="1147" w:type="dxa"/>
                  <w:gridSpan w:val="2"/>
                </w:tcPr>
                <w:p w14:paraId="0F156449" w14:textId="5BEAE0B9" w:rsidR="00DF7A6B" w:rsidRPr="00C73BE6" w:rsidRDefault="003F53EC" w:rsidP="00DF7A6B">
                  <w:pPr>
                    <w:spacing w:before="60"/>
                    <w:jc w:val="center"/>
                    <w:rPr>
                      <w:iCs/>
                      <w:sz w:val="20"/>
                      <w:szCs w:val="20"/>
                      <w:lang w:eastAsia="en-US"/>
                    </w:rPr>
                  </w:pPr>
                  <w:r>
                    <w:rPr>
                      <w:iCs/>
                      <w:sz w:val="20"/>
                      <w:szCs w:val="20"/>
                      <w:lang w:eastAsia="en-US"/>
                    </w:rPr>
                    <w:t>71/12</w:t>
                  </w:r>
                </w:p>
              </w:tc>
              <w:tc>
                <w:tcPr>
                  <w:tcW w:w="1146" w:type="dxa"/>
                </w:tcPr>
                <w:p w14:paraId="42B4F24D" w14:textId="06837CCE" w:rsidR="00DF7A6B" w:rsidRPr="00C73BE6" w:rsidRDefault="003F53EC" w:rsidP="00DF7A6B">
                  <w:pPr>
                    <w:spacing w:before="60"/>
                    <w:jc w:val="center"/>
                    <w:rPr>
                      <w:iCs/>
                      <w:sz w:val="20"/>
                      <w:szCs w:val="20"/>
                      <w:lang w:eastAsia="en-US"/>
                    </w:rPr>
                  </w:pPr>
                  <w:r>
                    <w:rPr>
                      <w:iCs/>
                      <w:sz w:val="20"/>
                      <w:szCs w:val="20"/>
                      <w:lang w:eastAsia="en-US"/>
                    </w:rPr>
                    <w:t>57/14</w:t>
                  </w:r>
                </w:p>
              </w:tc>
              <w:tc>
                <w:tcPr>
                  <w:tcW w:w="1147" w:type="dxa"/>
                </w:tcPr>
                <w:p w14:paraId="32C04D23" w14:textId="0AD39E89" w:rsidR="00DF7A6B" w:rsidRPr="00C73BE6" w:rsidRDefault="003F53EC" w:rsidP="00DF7A6B">
                  <w:pPr>
                    <w:spacing w:before="60"/>
                    <w:jc w:val="center"/>
                    <w:rPr>
                      <w:iCs/>
                      <w:sz w:val="20"/>
                      <w:szCs w:val="20"/>
                      <w:lang w:eastAsia="en-US"/>
                    </w:rPr>
                  </w:pPr>
                  <w:r>
                    <w:rPr>
                      <w:iCs/>
                      <w:sz w:val="20"/>
                      <w:szCs w:val="20"/>
                      <w:lang w:eastAsia="en-US"/>
                    </w:rPr>
                    <w:t>69/15</w:t>
                  </w:r>
                </w:p>
              </w:tc>
              <w:tc>
                <w:tcPr>
                  <w:tcW w:w="857" w:type="dxa"/>
                </w:tcPr>
                <w:p w14:paraId="165C1767" w14:textId="39F9668E" w:rsidR="00DF7A6B" w:rsidRPr="00C73BE6" w:rsidRDefault="003F53EC" w:rsidP="00DF7A6B">
                  <w:pPr>
                    <w:spacing w:before="60"/>
                    <w:jc w:val="center"/>
                    <w:rPr>
                      <w:iCs/>
                      <w:sz w:val="20"/>
                      <w:szCs w:val="20"/>
                      <w:lang w:eastAsia="en-US"/>
                    </w:rPr>
                  </w:pPr>
                  <w:r>
                    <w:rPr>
                      <w:iCs/>
                      <w:sz w:val="20"/>
                      <w:szCs w:val="20"/>
                      <w:lang w:eastAsia="en-US"/>
                    </w:rPr>
                    <w:t>72</w:t>
                  </w:r>
                </w:p>
              </w:tc>
              <w:tc>
                <w:tcPr>
                  <w:tcW w:w="1551" w:type="dxa"/>
                </w:tcPr>
                <w:p w14:paraId="65FA7C2B" w14:textId="212FAD5C" w:rsidR="00DF7A6B" w:rsidRPr="00C73BE6" w:rsidRDefault="003F53EC" w:rsidP="00DF7A6B">
                  <w:pPr>
                    <w:spacing w:before="60"/>
                    <w:jc w:val="center"/>
                    <w:rPr>
                      <w:iCs/>
                      <w:sz w:val="20"/>
                      <w:szCs w:val="20"/>
                      <w:lang w:eastAsia="en-US"/>
                    </w:rPr>
                  </w:pPr>
                  <w:r>
                    <w:rPr>
                      <w:iCs/>
                      <w:sz w:val="20"/>
                      <w:szCs w:val="20"/>
                      <w:lang w:eastAsia="en-US"/>
                    </w:rPr>
                    <w:t>-</w:t>
                  </w:r>
                </w:p>
              </w:tc>
              <w:tc>
                <w:tcPr>
                  <w:tcW w:w="1551" w:type="dxa"/>
                </w:tcPr>
                <w:p w14:paraId="557A6ED6" w14:textId="43AB9677" w:rsidR="00DF7A6B" w:rsidRDefault="003F53EC" w:rsidP="00DF7A6B">
                  <w:pPr>
                    <w:spacing w:before="60"/>
                    <w:jc w:val="center"/>
                    <w:rPr>
                      <w:iCs/>
                      <w:sz w:val="20"/>
                      <w:szCs w:val="20"/>
                      <w:lang w:eastAsia="en-US"/>
                    </w:rPr>
                  </w:pPr>
                  <w:r>
                    <w:rPr>
                      <w:iCs/>
                      <w:sz w:val="20"/>
                      <w:szCs w:val="20"/>
                      <w:lang w:eastAsia="en-US"/>
                    </w:rPr>
                    <w:t>65</w:t>
                  </w:r>
                </w:p>
              </w:tc>
            </w:tr>
          </w:tbl>
          <w:p w14:paraId="5023926C" w14:textId="2573E6B6" w:rsidR="006D768C" w:rsidRPr="006D768C" w:rsidRDefault="006D768C" w:rsidP="00242093">
            <w:pPr>
              <w:spacing w:before="60"/>
              <w:rPr>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57AFCA" w:rsidR="00E66558" w:rsidRDefault="003F53EC">
            <w:pPr>
              <w:pStyle w:val="TableRow"/>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bl>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006412AB" w:rsidR="00ED5108" w:rsidRDefault="003F53EC">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58FA1311" w:rsidR="00ED5108" w:rsidRDefault="003F53EC">
            <w:r>
              <w:t>n/a</w:t>
            </w: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A9403" w14:textId="77777777" w:rsidR="008764B2" w:rsidRDefault="008764B2">
      <w:pPr>
        <w:spacing w:after="0" w:line="240" w:lineRule="auto"/>
      </w:pPr>
      <w:r>
        <w:separator/>
      </w:r>
    </w:p>
  </w:endnote>
  <w:endnote w:type="continuationSeparator" w:id="0">
    <w:p w14:paraId="04D5B9EB" w14:textId="77777777" w:rsidR="008764B2" w:rsidRDefault="008764B2">
      <w:pPr>
        <w:spacing w:after="0" w:line="240" w:lineRule="auto"/>
      </w:pPr>
      <w:r>
        <w:continuationSeparator/>
      </w:r>
    </w:p>
  </w:endnote>
  <w:endnote w:type="continuationNotice" w:id="1">
    <w:p w14:paraId="34CB9878" w14:textId="77777777" w:rsidR="008764B2" w:rsidRDefault="00876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35B61E3" w:rsidR="00C373EA" w:rsidRDefault="009D71E8">
    <w:pPr>
      <w:pStyle w:val="Footer"/>
      <w:ind w:firstLine="4513"/>
    </w:pPr>
    <w:r>
      <w:fldChar w:fldCharType="begin"/>
    </w:r>
    <w:r>
      <w:instrText xml:space="preserve"> PAGE </w:instrText>
    </w:r>
    <w:r>
      <w:fldChar w:fldCharType="separate"/>
    </w:r>
    <w:r w:rsidR="00BC654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ACCA5" w14:textId="77777777" w:rsidR="008764B2" w:rsidRDefault="008764B2">
      <w:pPr>
        <w:spacing w:after="0" w:line="240" w:lineRule="auto"/>
      </w:pPr>
      <w:r>
        <w:separator/>
      </w:r>
    </w:p>
  </w:footnote>
  <w:footnote w:type="continuationSeparator" w:id="0">
    <w:p w14:paraId="32DB7A5B" w14:textId="77777777" w:rsidR="008764B2" w:rsidRDefault="008764B2">
      <w:pPr>
        <w:spacing w:after="0" w:line="240" w:lineRule="auto"/>
      </w:pPr>
      <w:r>
        <w:continuationSeparator/>
      </w:r>
    </w:p>
  </w:footnote>
  <w:footnote w:type="continuationNotice" w:id="1">
    <w:p w14:paraId="5CD51F2B" w14:textId="77777777" w:rsidR="008764B2" w:rsidRDefault="008764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E2C04A2"/>
    <w:multiLevelType w:val="hybridMultilevel"/>
    <w:tmpl w:val="B2783F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25837"/>
    <w:multiLevelType w:val="hybridMultilevel"/>
    <w:tmpl w:val="1448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7292D57"/>
    <w:multiLevelType w:val="hybridMultilevel"/>
    <w:tmpl w:val="2C7009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7"/>
  </w:num>
  <w:num w:numId="7">
    <w:abstractNumId w:val="11"/>
  </w:num>
  <w:num w:numId="8">
    <w:abstractNumId w:val="15"/>
  </w:num>
  <w:num w:numId="9">
    <w:abstractNumId w:val="13"/>
  </w:num>
  <w:num w:numId="10">
    <w:abstractNumId w:val="12"/>
  </w:num>
  <w:num w:numId="11">
    <w:abstractNumId w:val="2"/>
  </w:num>
  <w:num w:numId="12">
    <w:abstractNumId w:val="14"/>
  </w:num>
  <w:num w:numId="13">
    <w:abstractNumId w:val="10"/>
  </w:num>
  <w:num w:numId="14">
    <w:abstractNumId w:val="8"/>
  </w:num>
  <w:num w:numId="15">
    <w:abstractNumId w:val="9"/>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5CDC"/>
    <w:rsid w:val="00023729"/>
    <w:rsid w:val="000243B4"/>
    <w:rsid w:val="0002530E"/>
    <w:rsid w:val="0002710D"/>
    <w:rsid w:val="00036678"/>
    <w:rsid w:val="00036B0D"/>
    <w:rsid w:val="000452EB"/>
    <w:rsid w:val="00045603"/>
    <w:rsid w:val="000463AE"/>
    <w:rsid w:val="000507A3"/>
    <w:rsid w:val="00060A62"/>
    <w:rsid w:val="00064366"/>
    <w:rsid w:val="00066274"/>
    <w:rsid w:val="00066B73"/>
    <w:rsid w:val="00071481"/>
    <w:rsid w:val="00075FAE"/>
    <w:rsid w:val="00082F38"/>
    <w:rsid w:val="000837DB"/>
    <w:rsid w:val="0008384B"/>
    <w:rsid w:val="000929EC"/>
    <w:rsid w:val="00093CDE"/>
    <w:rsid w:val="000A49D8"/>
    <w:rsid w:val="000A5C58"/>
    <w:rsid w:val="000A6379"/>
    <w:rsid w:val="000B0D49"/>
    <w:rsid w:val="000B203E"/>
    <w:rsid w:val="000D22B0"/>
    <w:rsid w:val="000D35C9"/>
    <w:rsid w:val="000D46BC"/>
    <w:rsid w:val="000D520C"/>
    <w:rsid w:val="000D6596"/>
    <w:rsid w:val="000D6779"/>
    <w:rsid w:val="000E2755"/>
    <w:rsid w:val="000E6DF0"/>
    <w:rsid w:val="001037CB"/>
    <w:rsid w:val="0010629E"/>
    <w:rsid w:val="00114288"/>
    <w:rsid w:val="00115538"/>
    <w:rsid w:val="00116FA8"/>
    <w:rsid w:val="00120AB1"/>
    <w:rsid w:val="00123A7F"/>
    <w:rsid w:val="00124C19"/>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C41"/>
    <w:rsid w:val="00204F40"/>
    <w:rsid w:val="00205DEF"/>
    <w:rsid w:val="002112C3"/>
    <w:rsid w:val="002131E5"/>
    <w:rsid w:val="00216C8A"/>
    <w:rsid w:val="00223CBD"/>
    <w:rsid w:val="00226317"/>
    <w:rsid w:val="00231539"/>
    <w:rsid w:val="00242093"/>
    <w:rsid w:val="00243F22"/>
    <w:rsid w:val="002523E3"/>
    <w:rsid w:val="00252AD6"/>
    <w:rsid w:val="002542CE"/>
    <w:rsid w:val="00257A4E"/>
    <w:rsid w:val="00266FA5"/>
    <w:rsid w:val="00271856"/>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08FB"/>
    <w:rsid w:val="0037437C"/>
    <w:rsid w:val="0038146B"/>
    <w:rsid w:val="0038340F"/>
    <w:rsid w:val="00384457"/>
    <w:rsid w:val="00384F24"/>
    <w:rsid w:val="003A32B2"/>
    <w:rsid w:val="003A47DD"/>
    <w:rsid w:val="003A5F67"/>
    <w:rsid w:val="003A634F"/>
    <w:rsid w:val="003B0B3D"/>
    <w:rsid w:val="003B14C1"/>
    <w:rsid w:val="003B2884"/>
    <w:rsid w:val="003B588A"/>
    <w:rsid w:val="003B621D"/>
    <w:rsid w:val="003C4388"/>
    <w:rsid w:val="003C4C27"/>
    <w:rsid w:val="003C7F7B"/>
    <w:rsid w:val="003D0CD6"/>
    <w:rsid w:val="003D1DEA"/>
    <w:rsid w:val="003D2EAA"/>
    <w:rsid w:val="003D7E94"/>
    <w:rsid w:val="003E054C"/>
    <w:rsid w:val="003E1EC5"/>
    <w:rsid w:val="003E27A0"/>
    <w:rsid w:val="003E3872"/>
    <w:rsid w:val="003F53EC"/>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083A"/>
    <w:rsid w:val="00562B3C"/>
    <w:rsid w:val="00564E40"/>
    <w:rsid w:val="005750E2"/>
    <w:rsid w:val="0058313F"/>
    <w:rsid w:val="00585859"/>
    <w:rsid w:val="00586FBC"/>
    <w:rsid w:val="005879C9"/>
    <w:rsid w:val="00594CAD"/>
    <w:rsid w:val="005A1D0B"/>
    <w:rsid w:val="005A3C6B"/>
    <w:rsid w:val="005A64B5"/>
    <w:rsid w:val="005B1EA5"/>
    <w:rsid w:val="005C54A0"/>
    <w:rsid w:val="005C6E45"/>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D768C"/>
    <w:rsid w:val="006E02AF"/>
    <w:rsid w:val="006E0786"/>
    <w:rsid w:val="006E441B"/>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758F4"/>
    <w:rsid w:val="00781713"/>
    <w:rsid w:val="00785285"/>
    <w:rsid w:val="0078529D"/>
    <w:rsid w:val="00785E77"/>
    <w:rsid w:val="00787DC1"/>
    <w:rsid w:val="00794070"/>
    <w:rsid w:val="007A63CA"/>
    <w:rsid w:val="007A713B"/>
    <w:rsid w:val="007A7DA0"/>
    <w:rsid w:val="007B64E5"/>
    <w:rsid w:val="007C2F04"/>
    <w:rsid w:val="007E2CBA"/>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764B2"/>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82F55"/>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46574"/>
    <w:rsid w:val="00A50104"/>
    <w:rsid w:val="00A522E0"/>
    <w:rsid w:val="00A52823"/>
    <w:rsid w:val="00A56BF1"/>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1CD4"/>
    <w:rsid w:val="00AD7B5A"/>
    <w:rsid w:val="00AE07A7"/>
    <w:rsid w:val="00AE229F"/>
    <w:rsid w:val="00AF5E20"/>
    <w:rsid w:val="00B002FA"/>
    <w:rsid w:val="00B00327"/>
    <w:rsid w:val="00B01588"/>
    <w:rsid w:val="00B024B3"/>
    <w:rsid w:val="00B11DE8"/>
    <w:rsid w:val="00B179ED"/>
    <w:rsid w:val="00B20E18"/>
    <w:rsid w:val="00B331E1"/>
    <w:rsid w:val="00B433F4"/>
    <w:rsid w:val="00B572C4"/>
    <w:rsid w:val="00B60858"/>
    <w:rsid w:val="00B74D4E"/>
    <w:rsid w:val="00B80219"/>
    <w:rsid w:val="00B87184"/>
    <w:rsid w:val="00B91453"/>
    <w:rsid w:val="00BA0EA3"/>
    <w:rsid w:val="00BA19A5"/>
    <w:rsid w:val="00BA59B1"/>
    <w:rsid w:val="00BA79EC"/>
    <w:rsid w:val="00BC078B"/>
    <w:rsid w:val="00BC3A7D"/>
    <w:rsid w:val="00BC6547"/>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25BEB"/>
    <w:rsid w:val="00C31BB8"/>
    <w:rsid w:val="00C373EA"/>
    <w:rsid w:val="00C43CA3"/>
    <w:rsid w:val="00C43D9D"/>
    <w:rsid w:val="00C43EA4"/>
    <w:rsid w:val="00C50040"/>
    <w:rsid w:val="00C52DFF"/>
    <w:rsid w:val="00C621C1"/>
    <w:rsid w:val="00C62989"/>
    <w:rsid w:val="00C64997"/>
    <w:rsid w:val="00C65CBB"/>
    <w:rsid w:val="00C73BE6"/>
    <w:rsid w:val="00C74684"/>
    <w:rsid w:val="00C77FEF"/>
    <w:rsid w:val="00C80F37"/>
    <w:rsid w:val="00C83659"/>
    <w:rsid w:val="00C97A7F"/>
    <w:rsid w:val="00CA4421"/>
    <w:rsid w:val="00CA5363"/>
    <w:rsid w:val="00CA7D07"/>
    <w:rsid w:val="00CB24A4"/>
    <w:rsid w:val="00CB5B17"/>
    <w:rsid w:val="00CC4443"/>
    <w:rsid w:val="00CC5CAF"/>
    <w:rsid w:val="00CF5994"/>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DF7A6B"/>
    <w:rsid w:val="00E061EC"/>
    <w:rsid w:val="00E10CC9"/>
    <w:rsid w:val="00E10E81"/>
    <w:rsid w:val="00E13E51"/>
    <w:rsid w:val="00E15A3E"/>
    <w:rsid w:val="00E21F56"/>
    <w:rsid w:val="00E3014F"/>
    <w:rsid w:val="00E4286E"/>
    <w:rsid w:val="00E43EAD"/>
    <w:rsid w:val="00E62DCB"/>
    <w:rsid w:val="00E651DD"/>
    <w:rsid w:val="00E66558"/>
    <w:rsid w:val="00E70D81"/>
    <w:rsid w:val="00E726A6"/>
    <w:rsid w:val="00E73418"/>
    <w:rsid w:val="00E8109E"/>
    <w:rsid w:val="00E81923"/>
    <w:rsid w:val="00E86F05"/>
    <w:rsid w:val="00EA3A2A"/>
    <w:rsid w:val="00EB4556"/>
    <w:rsid w:val="00EB64C8"/>
    <w:rsid w:val="00ED4136"/>
    <w:rsid w:val="00ED5108"/>
    <w:rsid w:val="00ED6AE8"/>
    <w:rsid w:val="00EE2CB2"/>
    <w:rsid w:val="00EE59D4"/>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B018F"/>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5EF2A12-62F0-4753-B90A-2F55F895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education-evidence/teaching-learning-toolkit/oral-language-interventio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endowmentfoundation.org.uk/guidance-for-teachers/using-pupil-premium" TargetMode="External"/><Relationship Id="rId17" Type="http://schemas.openxmlformats.org/officeDocument/2006/relationships/hyperlink" Target="https://educationendowmentfoundation.org.uk/education-evidence/teaching-learning-toolkit/phonics"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feedback" TargetMode="External"/><Relationship Id="rId20" Type="http://schemas.openxmlformats.org/officeDocument/2006/relationships/hyperlink" Target="https://educationendowmentfoundation.org.uk/education-evidence/guidance-reports/primary-s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teaching-learning-toolkit/phonic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endowmentfoundation.org.uk/education-evidence/guidance-reports/se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one-to-one-tu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evidence-reviews/early-languag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5D693354B9C4FB98732961FA119E0" ma:contentTypeVersion="15" ma:contentTypeDescription="Create a new document." ma:contentTypeScope="" ma:versionID="78ee5eae622a80f4b3210859aa219663">
  <xsd:schema xmlns:xsd="http://www.w3.org/2001/XMLSchema" xmlns:xs="http://www.w3.org/2001/XMLSchema" xmlns:p="http://schemas.microsoft.com/office/2006/metadata/properties" xmlns:ns3="0bfc791a-a38e-409b-b5a2-7875f0fa9361" xmlns:ns4="86d237e0-0c6c-4ced-a480-0c39e7b0d984" targetNamespace="http://schemas.microsoft.com/office/2006/metadata/properties" ma:root="true" ma:fieldsID="fef0067d5a5de53de243a07124cce9a7" ns3:_="" ns4:_="">
    <xsd:import namespace="0bfc791a-a38e-409b-b5a2-7875f0fa9361"/>
    <xsd:import namespace="86d237e0-0c6c-4ced-a480-0c39e7b0d98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c791a-a38e-409b-b5a2-7875f0fa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237e0-0c6c-4ced-a480-0c39e7b0d9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bfc791a-a38e-409b-b5a2-7875f0fa93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3BEB3-214A-4BFC-A055-6F8C6F3D3055}">
  <ds:schemaRefs>
    <ds:schemaRef ds:uri="http://schemas.microsoft.com/sharepoint/v3/contenttype/forms"/>
  </ds:schemaRefs>
</ds:datastoreItem>
</file>

<file path=customXml/itemProps2.xml><?xml version="1.0" encoding="utf-8"?>
<ds:datastoreItem xmlns:ds="http://schemas.openxmlformats.org/officeDocument/2006/customXml" ds:itemID="{9580F1A4-0D61-4378-8DEC-4A5B931CF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c791a-a38e-409b-b5a2-7875f0fa9361"/>
    <ds:schemaRef ds:uri="86d237e0-0c6c-4ced-a480-0c39e7b0d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F36D5-AC90-4B33-AC89-0EB39AA2FDE6}">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86d237e0-0c6c-4ced-a480-0c39e7b0d984"/>
    <ds:schemaRef ds:uri="0bfc791a-a38e-409b-b5a2-7875f0fa9361"/>
    <ds:schemaRef ds:uri="http://www.w3.org/XML/1998/namespace"/>
  </ds:schemaRefs>
</ds:datastoreItem>
</file>

<file path=customXml/itemProps4.xml><?xml version="1.0" encoding="utf-8"?>
<ds:datastoreItem xmlns:ds="http://schemas.openxmlformats.org/officeDocument/2006/customXml" ds:itemID="{54BEF6E7-16BA-466C-A082-5BBC6D08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Kate Baskeyfield</cp:lastModifiedBy>
  <cp:revision>3</cp:revision>
  <cp:lastPrinted>2014-09-18T05:26:00Z</cp:lastPrinted>
  <dcterms:created xsi:type="dcterms:W3CDTF">2023-11-30T12:09:00Z</dcterms:created>
  <dcterms:modified xsi:type="dcterms:W3CDTF">2023-12-13T12:18:00Z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0x0101009B45D693354B9C4FB98732961FA119E0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